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B7314">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1. From Revolution to Feminist Promise</w:t>
      </w:r>
    </w:p>
    <w:p w14:paraId="57A7D164">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story of women in the Soviet Union begins with a dramatic rupture in history—the Russian Revolution, which fundamentally reshaped not only political power but also the imagination of gender relations. Even before 1917, women had already begun participating in political movements, labor struggles, and early feminist campaigns during the late nineteenth century, indicating that the revolution did not emerge in a vacuum but built upon existing currents of resistance. However, after the revolution, the Bolsheviks made a far more radical promise: the complete equality of men and women in both public and private life. This promise was institutionalized through key reforms such as the </w:t>
      </w:r>
      <w:r>
        <w:rPr>
          <w:rStyle w:val="7"/>
          <w:rFonts w:hint="default" w:ascii="Cambria" w:hAnsi="Cambria" w:cs="Cambria"/>
          <w:sz w:val="24"/>
          <w:szCs w:val="24"/>
        </w:rPr>
        <w:t>1917 decree on equality of sexes</w:t>
      </w:r>
      <w:r>
        <w:rPr>
          <w:rFonts w:hint="default" w:ascii="Cambria" w:hAnsi="Cambria" w:cs="Cambria"/>
          <w:sz w:val="24"/>
          <w:szCs w:val="24"/>
        </w:rPr>
        <w:t xml:space="preserve"> and the </w:t>
      </w:r>
      <w:r>
        <w:rPr>
          <w:rStyle w:val="7"/>
          <w:rFonts w:hint="default" w:ascii="Cambria" w:hAnsi="Cambria" w:cs="Cambria"/>
          <w:sz w:val="24"/>
          <w:szCs w:val="24"/>
        </w:rPr>
        <w:t>1918 Family Code</w:t>
      </w:r>
      <w:r>
        <w:rPr>
          <w:rFonts w:hint="default" w:ascii="Cambria" w:hAnsi="Cambria" w:cs="Cambria"/>
          <w:sz w:val="24"/>
          <w:szCs w:val="24"/>
        </w:rPr>
        <w:t xml:space="preserve">, which abolished religious marriage, recognized only civil marriage, simplified divorce procedures, and granted equal rights to illegitimate children. The theoretical vision underlying these reforms was deeply transformative: women would achieve economic independence through paid labor, while domestic work would be socialized through collective kitchens, crèches, and public laundries. Thus, the Soviet project did not merely aim to include women within existing structures; it sought to fundamentally transform family, marriage, and gender relations themselves. </w:t>
      </w:r>
    </w:p>
    <w:p w14:paraId="1FBEFD93">
      <w:pPr>
        <w:keepNext w:val="0"/>
        <w:keepLines w:val="0"/>
        <w:widowControl/>
        <w:suppressLineNumbers w:val="0"/>
        <w:jc w:val="both"/>
        <w:rPr>
          <w:rFonts w:hint="default" w:ascii="Cambria" w:hAnsi="Cambria" w:cs="Cambria"/>
          <w:sz w:val="24"/>
          <w:szCs w:val="24"/>
        </w:rPr>
      </w:pPr>
    </w:p>
    <w:p w14:paraId="2A00530C">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2. Early Reality: Limits of Revolutionary Change (1920s)</w:t>
      </w:r>
    </w:p>
    <w:p w14:paraId="1125945F">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Yet, as the revolutionary decade unfolded, reality quickly diverged from theory. The post-revolution economy was marked by instability, high unemployment, and scarcity of jobs, which profoundly affected women’s position. Instead of becoming economically independent, women were often treated as a “reserve labor force,” to be employed or dismissed depending on economic needs. Between </w:t>
      </w:r>
      <w:r>
        <w:rPr>
          <w:rStyle w:val="7"/>
          <w:rFonts w:hint="default" w:ascii="Cambria" w:hAnsi="Cambria" w:cs="Cambria"/>
          <w:sz w:val="24"/>
          <w:szCs w:val="24"/>
        </w:rPr>
        <w:t>1923 and 1928</w:t>
      </w:r>
      <w:r>
        <w:rPr>
          <w:rFonts w:hint="default" w:ascii="Cambria" w:hAnsi="Cambria" w:cs="Cambria"/>
          <w:sz w:val="24"/>
          <w:szCs w:val="24"/>
        </w:rPr>
        <w:t xml:space="preserve">, there was a decline in women’s industrial employment, and many women were dismissed after the war to make space for returning male workers, reflecting employers’ preference for men. At the same time, social resistance intensified, as rapid changes in family structures were perceived as moral chaos, leading even some women to demand stronger protections for marriage. This contradiction between legal equality and economic dependence produced severe social consequences, including increases in prostitution and abandoned children. Thus, despite progressive laws, the absence of economic stability meant that legal feminism remained largely ineffective in practice, revealing the limits of revolutionary transformation in the absence of material conditions. </w:t>
      </w:r>
    </w:p>
    <w:p w14:paraId="510A2EB4">
      <w:pPr>
        <w:keepNext w:val="0"/>
        <w:keepLines w:val="0"/>
        <w:widowControl/>
        <w:suppressLineNumbers w:val="0"/>
        <w:jc w:val="both"/>
        <w:rPr>
          <w:rFonts w:hint="default" w:ascii="Cambria" w:hAnsi="Cambria" w:cs="Cambria"/>
          <w:sz w:val="24"/>
          <w:szCs w:val="24"/>
        </w:rPr>
      </w:pPr>
    </w:p>
    <w:p w14:paraId="2650CF63">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3. The 1930s: Industrialization and the “Working Mother” Model</w:t>
      </w:r>
    </w:p>
    <w:p w14:paraId="54A0A294">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1930s marked a decisive turning point, particularly under the industrialization drive associated with Joseph Stalin, when the Soviet economy demanded massive labor mobilization. Women were increasingly drawn into industrial work in unprecedented numbers: </w:t>
      </w:r>
      <w:r>
        <w:rPr>
          <w:rStyle w:val="7"/>
          <w:rFonts w:hint="default" w:ascii="Cambria" w:hAnsi="Cambria" w:cs="Cambria"/>
          <w:sz w:val="24"/>
          <w:szCs w:val="24"/>
        </w:rPr>
        <w:t>473,000 women entered industry in 1930</w:t>
      </w:r>
      <w:r>
        <w:rPr>
          <w:rFonts w:hint="default" w:ascii="Cambria" w:hAnsi="Cambria" w:cs="Cambria"/>
          <w:sz w:val="24"/>
          <w:szCs w:val="24"/>
        </w:rPr>
        <w:t xml:space="preserve">, rising to </w:t>
      </w:r>
      <w:r>
        <w:rPr>
          <w:rStyle w:val="7"/>
          <w:rFonts w:hint="default" w:ascii="Cambria" w:hAnsi="Cambria" w:cs="Cambria"/>
          <w:sz w:val="24"/>
          <w:szCs w:val="24"/>
        </w:rPr>
        <w:t>587,000 in 1931</w:t>
      </w:r>
      <w:r>
        <w:rPr>
          <w:rFonts w:hint="default" w:ascii="Cambria" w:hAnsi="Cambria" w:cs="Cambria"/>
          <w:sz w:val="24"/>
          <w:szCs w:val="24"/>
        </w:rPr>
        <w:t xml:space="preserve">, and between </w:t>
      </w:r>
      <w:r>
        <w:rPr>
          <w:rStyle w:val="7"/>
          <w:rFonts w:hint="default" w:ascii="Cambria" w:hAnsi="Cambria" w:cs="Cambria"/>
          <w:sz w:val="24"/>
          <w:szCs w:val="24"/>
        </w:rPr>
        <w:t>1929 and 1935, nearly 4 million women joined the workforce</w:t>
      </w:r>
      <w:r>
        <w:rPr>
          <w:rFonts w:hint="default" w:ascii="Cambria" w:hAnsi="Cambria" w:cs="Cambria"/>
          <w:sz w:val="24"/>
          <w:szCs w:val="24"/>
        </w:rPr>
        <w:t xml:space="preserve">, with women constituting </w:t>
      </w:r>
      <w:r>
        <w:rPr>
          <w:rStyle w:val="7"/>
          <w:rFonts w:hint="default" w:ascii="Cambria" w:hAnsi="Cambria" w:cs="Cambria"/>
          <w:sz w:val="24"/>
          <w:szCs w:val="24"/>
        </w:rPr>
        <w:t>42% of the industrial workforce by 1935</w:t>
      </w:r>
      <w:r>
        <w:rPr>
          <w:rFonts w:hint="default" w:ascii="Cambria" w:hAnsi="Cambria" w:cs="Cambria"/>
          <w:sz w:val="24"/>
          <w:szCs w:val="24"/>
        </w:rPr>
        <w:t xml:space="preserve">. However, this expansion did not eliminate gender inequality; instead, it produced a state-planned gender division of labor, where women were concentrated in low-skilled jobs and specific sectors assigned by the State. Simultaneously, family policy underwent a conservative reversal. The </w:t>
      </w:r>
      <w:r>
        <w:rPr>
          <w:rStyle w:val="7"/>
          <w:rFonts w:hint="default" w:ascii="Cambria" w:hAnsi="Cambria" w:cs="Cambria"/>
          <w:sz w:val="24"/>
          <w:szCs w:val="24"/>
        </w:rPr>
        <w:t>1936 ban on abortion</w:t>
      </w:r>
      <w:r>
        <w:rPr>
          <w:rFonts w:hint="default" w:ascii="Cambria" w:hAnsi="Cambria" w:cs="Cambria"/>
          <w:sz w:val="24"/>
          <w:szCs w:val="24"/>
        </w:rPr>
        <w:t xml:space="preserve">, stricter divorce laws, and the promotion of a strong socialist family marked a retreat from earlier radical reforms. Out of this contradiction emerged the defining figure of Soviet gender relations—the “working mother,” who was expected to be a full-time worker while also remaining the primary caregiver and manager of the household. Thus, rather than eliminating gender roles, socialism restructured them into a dual burden that women had to carry simultaneously. </w:t>
      </w:r>
    </w:p>
    <w:p w14:paraId="75F7E687">
      <w:pPr>
        <w:keepNext w:val="0"/>
        <w:keepLines w:val="0"/>
        <w:widowControl/>
        <w:suppressLineNumbers w:val="0"/>
        <w:jc w:val="both"/>
        <w:rPr>
          <w:rFonts w:hint="default" w:ascii="Cambria" w:hAnsi="Cambria" w:cs="Cambria"/>
          <w:sz w:val="24"/>
          <w:szCs w:val="24"/>
        </w:rPr>
      </w:pPr>
    </w:p>
    <w:p w14:paraId="6713D90F">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4. War as a Turning Point (World War II)</w:t>
      </w:r>
    </w:p>
    <w:p w14:paraId="53D25123">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outbreak of World War II dramatically transformed women’s roles in Soviet society. The USSR suffered an immense loss of approximately </w:t>
      </w:r>
      <w:r>
        <w:rPr>
          <w:rStyle w:val="7"/>
          <w:rFonts w:hint="default" w:ascii="Cambria" w:hAnsi="Cambria" w:cs="Cambria"/>
          <w:sz w:val="24"/>
          <w:szCs w:val="24"/>
        </w:rPr>
        <w:t>27 million people</w:t>
      </w:r>
      <w:r>
        <w:rPr>
          <w:rFonts w:hint="default" w:ascii="Cambria" w:hAnsi="Cambria" w:cs="Cambria"/>
          <w:sz w:val="24"/>
          <w:szCs w:val="24"/>
        </w:rPr>
        <w:t xml:space="preserve">, creating a severe gender imbalance and an urgent need for labor. Women stepped into this vacuum and became central to the economy and war effort. By </w:t>
      </w:r>
      <w:r>
        <w:rPr>
          <w:rStyle w:val="7"/>
          <w:rFonts w:hint="default" w:ascii="Cambria" w:hAnsi="Cambria" w:cs="Cambria"/>
          <w:sz w:val="24"/>
          <w:szCs w:val="24"/>
        </w:rPr>
        <w:t>1943, women constituted 57% of the non-agricultural workforce</w:t>
      </w:r>
      <w:r>
        <w:rPr>
          <w:rFonts w:hint="default" w:ascii="Cambria" w:hAnsi="Cambria" w:cs="Cambria"/>
          <w:sz w:val="24"/>
          <w:szCs w:val="24"/>
        </w:rPr>
        <w:t xml:space="preserve">, and by </w:t>
      </w:r>
      <w:r>
        <w:rPr>
          <w:rStyle w:val="7"/>
          <w:rFonts w:hint="default" w:ascii="Cambria" w:hAnsi="Cambria" w:cs="Cambria"/>
          <w:sz w:val="24"/>
          <w:szCs w:val="24"/>
        </w:rPr>
        <w:t>1945, they made up over 80% of the agricultural labor force</w:t>
      </w:r>
      <w:r>
        <w:rPr>
          <w:rFonts w:hint="default" w:ascii="Cambria" w:hAnsi="Cambria" w:cs="Cambria"/>
          <w:sz w:val="24"/>
          <w:szCs w:val="24"/>
        </w:rPr>
        <w:t xml:space="preserve">. Their contribution was indispensable not only for wartime survival but also for post-war reconstruction. As a result, women’s participation in the workforce became normalized and permanent. However, while war accelerated women’s economic importance, it did not necessarily translate into genuine equality, as structural hierarchies and gender roles remained largely intact. </w:t>
      </w:r>
    </w:p>
    <w:p w14:paraId="7E4BE0B9">
      <w:pPr>
        <w:keepNext w:val="0"/>
        <w:keepLines w:val="0"/>
        <w:widowControl/>
        <w:suppressLineNumbers w:val="0"/>
        <w:jc w:val="both"/>
        <w:rPr>
          <w:rFonts w:hint="default" w:ascii="Cambria" w:hAnsi="Cambria" w:cs="Cambria"/>
          <w:sz w:val="24"/>
          <w:szCs w:val="24"/>
        </w:rPr>
      </w:pPr>
    </w:p>
    <w:p w14:paraId="11640691">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5. Post-War Expansion and Persistent Inequality (1960s–1980s)</w:t>
      </w:r>
    </w:p>
    <w:p w14:paraId="178C8FBA">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 the post-war decades, particularly from the 1960s to the 1980s, women’s participation in the Soviet workforce expanded further, driven largely by labor shortages. Of the </w:t>
      </w:r>
      <w:r>
        <w:rPr>
          <w:rStyle w:val="7"/>
          <w:rFonts w:hint="default" w:ascii="Cambria" w:hAnsi="Cambria" w:cs="Cambria"/>
          <w:sz w:val="24"/>
          <w:szCs w:val="24"/>
        </w:rPr>
        <w:t>17 million working-age non-employed individuals, approximately 90% were women</w:t>
      </w:r>
      <w:r>
        <w:rPr>
          <w:rFonts w:hint="default" w:ascii="Cambria" w:hAnsi="Cambria" w:cs="Cambria"/>
          <w:sz w:val="24"/>
          <w:szCs w:val="24"/>
        </w:rPr>
        <w:t xml:space="preserve">, reflecting both necessity and untapped labor potential. The expansion of the service sector during the 1960s and 1970s further increased female employment. However, this expansion masked deep structural inequalities. Women remained concentrated in sectors such as health, education, and retail, which were often undervalued and underpaid, with wages typically </w:t>
      </w:r>
      <w:r>
        <w:rPr>
          <w:rStyle w:val="7"/>
          <w:rFonts w:hint="default" w:ascii="Cambria" w:hAnsi="Cambria" w:cs="Cambria"/>
          <w:sz w:val="24"/>
          <w:szCs w:val="24"/>
        </w:rPr>
        <w:t>20–30% below the national average</w:t>
      </w:r>
      <w:r>
        <w:rPr>
          <w:rFonts w:hint="default" w:ascii="Cambria" w:hAnsi="Cambria" w:cs="Cambria"/>
          <w:sz w:val="24"/>
          <w:szCs w:val="24"/>
        </w:rPr>
        <w:t xml:space="preserve">. More than </w:t>
      </w:r>
      <w:r>
        <w:rPr>
          <w:rStyle w:val="7"/>
          <w:rFonts w:hint="default" w:ascii="Cambria" w:hAnsi="Cambria" w:cs="Cambria"/>
          <w:sz w:val="24"/>
          <w:szCs w:val="24"/>
        </w:rPr>
        <w:t>90% of the lowest-paid workers were women</w:t>
      </w:r>
      <w:r>
        <w:rPr>
          <w:rFonts w:hint="default" w:ascii="Cambria" w:hAnsi="Cambria" w:cs="Cambria"/>
          <w:sz w:val="24"/>
          <w:szCs w:val="24"/>
        </w:rPr>
        <w:t xml:space="preserve">, illustrating systemic economic inequality. Political inequality was equally stark: by </w:t>
      </w:r>
      <w:r>
        <w:rPr>
          <w:rStyle w:val="7"/>
          <w:rFonts w:hint="default" w:ascii="Cambria" w:hAnsi="Cambria" w:cs="Cambria"/>
          <w:sz w:val="24"/>
          <w:szCs w:val="24"/>
        </w:rPr>
        <w:t>1990, only 2–3% of women occupied decision-making positions</w:t>
      </w:r>
      <w:r>
        <w:rPr>
          <w:rFonts w:hint="default" w:ascii="Cambria" w:hAnsi="Cambria" w:cs="Cambria"/>
          <w:sz w:val="24"/>
          <w:szCs w:val="24"/>
        </w:rPr>
        <w:t xml:space="preserve">, and representation within the Communist Party, although increasing over time (from </w:t>
      </w:r>
      <w:r>
        <w:rPr>
          <w:rStyle w:val="7"/>
          <w:rFonts w:hint="default" w:ascii="Cambria" w:hAnsi="Cambria" w:cs="Cambria"/>
          <w:sz w:val="24"/>
          <w:szCs w:val="24"/>
        </w:rPr>
        <w:t>7.4% in 1920 to 20.9% in 1967</w:t>
      </w:r>
      <w:r>
        <w:rPr>
          <w:rFonts w:hint="default" w:ascii="Cambria" w:hAnsi="Cambria" w:cs="Cambria"/>
          <w:sz w:val="24"/>
          <w:szCs w:val="24"/>
        </w:rPr>
        <w:t xml:space="preserve">), remained limited, with only </w:t>
      </w:r>
      <w:r>
        <w:rPr>
          <w:rStyle w:val="7"/>
          <w:rFonts w:hint="default" w:ascii="Cambria" w:hAnsi="Cambria" w:cs="Cambria"/>
          <w:sz w:val="24"/>
          <w:szCs w:val="24"/>
        </w:rPr>
        <w:t>2.8% of women in the Central Committee</w:t>
      </w:r>
      <w:r>
        <w:rPr>
          <w:rFonts w:hint="default" w:ascii="Cambria" w:hAnsi="Cambria" w:cs="Cambria"/>
          <w:sz w:val="24"/>
          <w:szCs w:val="24"/>
        </w:rPr>
        <w:t xml:space="preserve">. Thus, while women were present across the economy, they remained largely excluded from positions of power. </w:t>
      </w:r>
    </w:p>
    <w:p w14:paraId="07EA1D64">
      <w:pPr>
        <w:keepNext w:val="0"/>
        <w:keepLines w:val="0"/>
        <w:widowControl/>
        <w:suppressLineNumbers w:val="0"/>
        <w:jc w:val="both"/>
        <w:rPr>
          <w:rFonts w:hint="default" w:ascii="Cambria" w:hAnsi="Cambria" w:cs="Cambria"/>
          <w:sz w:val="24"/>
          <w:szCs w:val="24"/>
        </w:rPr>
      </w:pPr>
    </w:p>
    <w:p w14:paraId="3A0B2E14">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6. Home Life: The Double Burden (Empirical Reality)</w:t>
      </w:r>
    </w:p>
    <w:p w14:paraId="7F4A708D">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most striking contradiction of Soviet feminism became visible in everyday life, particularly within the household. Time-use studies reveal that although domestic labor decreased slightly over time, the gender disparity remained profound. Women’s domestic work reduced from </w:t>
      </w:r>
      <w:r>
        <w:rPr>
          <w:rStyle w:val="7"/>
          <w:rFonts w:hint="default" w:ascii="Cambria" w:hAnsi="Cambria" w:cs="Cambria"/>
          <w:sz w:val="24"/>
          <w:szCs w:val="24"/>
        </w:rPr>
        <w:t>34 hours per week in the 1920s to 27 hours in the 1960s</w:t>
      </w:r>
      <w:r>
        <w:rPr>
          <w:rFonts w:hint="default" w:ascii="Cambria" w:hAnsi="Cambria" w:cs="Cambria"/>
          <w:sz w:val="24"/>
          <w:szCs w:val="24"/>
        </w:rPr>
        <w:t xml:space="preserve">, while men’s contribution declined from </w:t>
      </w:r>
      <w:r>
        <w:rPr>
          <w:rStyle w:val="7"/>
          <w:rFonts w:hint="default" w:ascii="Cambria" w:hAnsi="Cambria" w:cs="Cambria"/>
          <w:sz w:val="24"/>
          <w:szCs w:val="24"/>
        </w:rPr>
        <w:t>13 hours to 10 hours per week</w:t>
      </w:r>
      <w:r>
        <w:rPr>
          <w:rFonts w:hint="default" w:ascii="Cambria" w:hAnsi="Cambria" w:cs="Cambria"/>
          <w:sz w:val="24"/>
          <w:szCs w:val="24"/>
        </w:rPr>
        <w:t xml:space="preserve">, meaning that women still performed two to three times more domestic labor than men. When combined with paid employment, women worked approximately </w:t>
      </w:r>
      <w:r>
        <w:rPr>
          <w:rStyle w:val="7"/>
          <w:rFonts w:hint="default" w:ascii="Cambria" w:hAnsi="Cambria" w:cs="Cambria"/>
          <w:sz w:val="24"/>
          <w:szCs w:val="24"/>
        </w:rPr>
        <w:t>65 hours per week</w:t>
      </w:r>
      <w:r>
        <w:rPr>
          <w:rFonts w:hint="default" w:ascii="Cambria" w:hAnsi="Cambria" w:cs="Cambria"/>
          <w:sz w:val="24"/>
          <w:szCs w:val="24"/>
        </w:rPr>
        <w:t xml:space="preserve">, compared to </w:t>
      </w:r>
      <w:r>
        <w:rPr>
          <w:rStyle w:val="7"/>
          <w:rFonts w:hint="default" w:ascii="Cambria" w:hAnsi="Cambria" w:cs="Cambria"/>
          <w:sz w:val="24"/>
          <w:szCs w:val="24"/>
        </w:rPr>
        <w:t>51 hours for men</w:t>
      </w:r>
      <w:r>
        <w:rPr>
          <w:rFonts w:hint="default" w:ascii="Cambria" w:hAnsi="Cambria" w:cs="Cambria"/>
          <w:sz w:val="24"/>
          <w:szCs w:val="24"/>
        </w:rPr>
        <w:t xml:space="preserve">. Within the family, women managed household budgets, childcare, and the daily challenges of survival, such as waiting in queues and securing basic goods, while men typically handled only major decisions. Thus, while socialism reduced inequality in the workplace, it failed to transform gender relations within the home, leaving women with a persistent double burden. </w:t>
      </w:r>
      <w:bookmarkStart w:id="0" w:name="_GoBack"/>
      <w:bookmarkEnd w:id="0"/>
    </w:p>
    <w:p w14:paraId="0FD30329">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7. Structural Limits of Soviet Feminism</w:t>
      </w:r>
    </w:p>
    <w:p w14:paraId="6245EF26">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Ultimately, the Soviet experience reveals the structural limits of state-led feminism. Despite progressive laws and large-scale mobilization of women into the workforce, the system focused primarily on integrating women into labor rather than redistributing domestic responsibilities between men and women. This imbalance was exacerbated by the lack of adequate childcare and collective services, as well as the State’s prioritization of heavy industry and military expenditure over social infrastructure. As a result, domestic labor was never fully socialized, and women continued to shoulder dual responsibilities. Furthermore, women remained largely absent from decision-making bodies and leadership structures, limiting their ability to influence policy. Thus, the Soviet model transformed women into workers, but not into equals, demonstrating that economic participation alone is insufficient to dismantle deeply embedded patriarchal structures. </w:t>
      </w:r>
    </w:p>
    <w:p w14:paraId="69D23E0A">
      <w:pPr>
        <w:jc w:val="both"/>
        <w:rPr>
          <w:rFonts w:hint="default" w:ascii="Cambria" w:hAnsi="Cambria" w:cs="Cambria"/>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D21DB"/>
    <w:rsid w:val="5E66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241</Words>
  <Characters>1502</Characters>
  <Lines>0</Lines>
  <Paragraphs>0</Paragraphs>
  <TotalTime>6</TotalTime>
  <ScaleCrop>false</ScaleCrop>
  <LinksUpToDate>false</LinksUpToDate>
  <CharactersWithSpaces>1724</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2026-04-03T15:29:00Z</dcterms:created>
  <dc:creator>ASUS</dc:creator>
  <cp:lastModifiedBy>WPS_1743332713</cp:lastModifiedBy>
  <dcterms:modified xsi:type="dcterms:W3CDTF">2026-04-04T04:44:21Z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EFA1F2FCCAD2439AA741094AB9EEB4FE_12</vt:lpwstr>
  </property>
</Properties>
</file>