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80" w:rsidRPr="005F7CD0" w:rsidRDefault="008A5080" w:rsidP="005F7CD0">
      <w:pPr>
        <w:rPr>
          <w:rFonts w:ascii="Arial" w:hAnsi="Arial" w:cs="Arial"/>
          <w:sz w:val="24"/>
          <w:szCs w:val="24"/>
          <w:lang w:val="en-US"/>
        </w:rPr>
      </w:pPr>
    </w:p>
    <w:p w:rsidR="005F7CD0" w:rsidRPr="005F7CD0" w:rsidRDefault="005F7CD0" w:rsidP="005F7CD0">
      <w:pPr>
        <w:rPr>
          <w:rFonts w:ascii="Arial" w:hAnsi="Arial" w:cs="Arial"/>
          <w:b/>
          <w:bCs/>
          <w:sz w:val="24"/>
          <w:szCs w:val="24"/>
        </w:rPr>
      </w:pPr>
      <w:r w:rsidRPr="005F7CD0">
        <w:rPr>
          <w:rFonts w:ascii="Arial" w:hAnsi="Arial" w:cs="Arial"/>
          <w:b/>
          <w:bCs/>
          <w:sz w:val="24"/>
          <w:szCs w:val="24"/>
        </w:rPr>
        <w:t>Banking Sector Reforms</w:t>
      </w:r>
    </w:p>
    <w:p w:rsidR="005F7CD0" w:rsidRPr="005F7CD0" w:rsidRDefault="005F7CD0" w:rsidP="005F7CD0">
      <w:pPr>
        <w:rPr>
          <w:rFonts w:ascii="Arial" w:hAnsi="Arial" w:cs="Arial"/>
          <w:b/>
          <w:bCs/>
          <w:sz w:val="24"/>
          <w:szCs w:val="24"/>
        </w:rPr>
      </w:pPr>
      <w:r w:rsidRPr="005F7CD0">
        <w:rPr>
          <w:rFonts w:ascii="Arial" w:hAnsi="Arial" w:cs="Arial"/>
          <w:b/>
          <w:bCs/>
          <w:sz w:val="24"/>
          <w:szCs w:val="24"/>
        </w:rPr>
        <w:t xml:space="preserve"> Background: Indian Banking Before 1991</w:t>
      </w:r>
    </w:p>
    <w:p w:rsidR="005F7CD0" w:rsidRPr="005F7CD0" w:rsidRDefault="005F7CD0" w:rsidP="005F7CD0">
      <w:pPr>
        <w:jc w:val="both"/>
        <w:rPr>
          <w:rFonts w:ascii="Arial" w:hAnsi="Arial" w:cs="Arial"/>
          <w:bCs/>
          <w:sz w:val="24"/>
          <w:szCs w:val="24"/>
        </w:rPr>
      </w:pPr>
      <w:r w:rsidRPr="005F7CD0">
        <w:rPr>
          <w:rFonts w:ascii="Arial" w:hAnsi="Arial" w:cs="Arial"/>
          <w:bCs/>
          <w:sz w:val="24"/>
          <w:szCs w:val="24"/>
        </w:rPr>
        <w:t>Before 1991, India’s banking sector was dominated by public-sector banks due to two rounds of nationalization (1969 and 1980) Public Sector Banks (PSBs) controlled over 90% of banking assets and were often instruments of government-directed lending and social programs. While nationalization helped expand bank branches and credit to rural areas and priority sectors, by the late 1980s the system suffered from significant inefficiencies and weaknesses. Interest rates were administratively set, credit was rationed by government mandates, and banks operated under tight control of the Finance Ministry and the Reserve Bank of India (RBI) (a dual-control structure) Statutory liquidity and reserve requirements were extremely high – in 1991 the Statutory Liquidity Ratio (SLR) was 38.5% and the Cash Reserve Ratio (CRR) 15% – meaning a large portion of bank funds were locked in government securities or with RBI. These factors, combined with politically driven lending, led to poor asset quality and low profitability. By the early 1990s, many PSBs had a fragile financial health: they had only a small capital base, carried a hidden burden of non-performing loans, and faced declining productivity and customer service. Despite the wider reach achieved through nationalization, the Indian banking system prior to 1991 was inefficient, over-regulated, and structurally weak, unable to effectively support a modernizing economy.</w:t>
      </w:r>
    </w:p>
    <w:p w:rsidR="005F7CD0" w:rsidRPr="005F7CD0" w:rsidRDefault="005F7CD0" w:rsidP="005F7CD0">
      <w:pPr>
        <w:rPr>
          <w:rFonts w:ascii="Arial" w:hAnsi="Arial" w:cs="Arial"/>
          <w:b/>
          <w:bCs/>
          <w:sz w:val="24"/>
          <w:szCs w:val="24"/>
        </w:rPr>
      </w:pPr>
    </w:p>
    <w:p w:rsidR="005F7CD0" w:rsidRPr="005F7CD0" w:rsidRDefault="005F7CD0" w:rsidP="005F7CD0">
      <w:pPr>
        <w:rPr>
          <w:rFonts w:ascii="Arial" w:hAnsi="Arial" w:cs="Arial"/>
          <w:b/>
          <w:bCs/>
          <w:sz w:val="24"/>
          <w:szCs w:val="24"/>
        </w:rPr>
      </w:pPr>
      <w:r w:rsidRPr="005F7CD0">
        <w:rPr>
          <w:rFonts w:ascii="Arial" w:hAnsi="Arial" w:cs="Arial"/>
          <w:b/>
          <w:bCs/>
          <w:sz w:val="24"/>
          <w:szCs w:val="24"/>
        </w:rPr>
        <w:t>1991: Economic Crisis and Need for Reform</w:t>
      </w:r>
    </w:p>
    <w:p w:rsidR="005F7CD0" w:rsidRPr="005F7CD0" w:rsidRDefault="005F7CD0" w:rsidP="005F7CD0">
      <w:pPr>
        <w:jc w:val="both"/>
        <w:rPr>
          <w:rFonts w:ascii="Arial" w:hAnsi="Arial" w:cs="Arial"/>
          <w:bCs/>
          <w:sz w:val="24"/>
          <w:szCs w:val="24"/>
        </w:rPr>
      </w:pPr>
      <w:r w:rsidRPr="005F7CD0">
        <w:rPr>
          <w:rFonts w:ascii="Arial" w:hAnsi="Arial" w:cs="Arial"/>
          <w:bCs/>
          <w:sz w:val="24"/>
          <w:szCs w:val="24"/>
        </w:rPr>
        <w:t xml:space="preserve">In 1991, India was struck by a severe balance of payments crisis – foreign exchange reserves fell to perilously low levels (just enough for two weeks of imports) and the country was on the brink of default. This crisis was precipitated by years of fiscal deficits, external debt accumulation, and external shocks (such as the Gulf War oil spike). Double-digit inflation and economic stagnation compounded the situation. The gravity of the crisis forced India to seek an IMF loan and undertake sweeping economic liberalization. It was against this backdrop that financial sector reforms became an urgent priority. The crisis had revealed that India’s banks, burdened by decades of financial repression and </w:t>
      </w:r>
      <w:proofErr w:type="gramStart"/>
      <w:r w:rsidRPr="005F7CD0">
        <w:rPr>
          <w:rFonts w:ascii="Arial" w:hAnsi="Arial" w:cs="Arial"/>
          <w:bCs/>
          <w:sz w:val="24"/>
          <w:szCs w:val="24"/>
        </w:rPr>
        <w:t>inefficiencies,</w:t>
      </w:r>
      <w:proofErr w:type="gramEnd"/>
      <w:r w:rsidRPr="005F7CD0">
        <w:rPr>
          <w:rFonts w:ascii="Arial" w:hAnsi="Arial" w:cs="Arial"/>
          <w:bCs/>
          <w:sz w:val="24"/>
          <w:szCs w:val="24"/>
        </w:rPr>
        <w:t xml:space="preserve"> were ill-equipped to support economic recovery. Policymakers recognized that to stabilize and grow the economy, banks would need to become more efficient, competitive, and resilient. Thus in mid-1991, the government appointed the </w:t>
      </w:r>
      <w:proofErr w:type="spellStart"/>
      <w:r w:rsidRPr="005F7CD0">
        <w:rPr>
          <w:rFonts w:ascii="Arial" w:hAnsi="Arial" w:cs="Arial"/>
          <w:bCs/>
          <w:sz w:val="24"/>
          <w:szCs w:val="24"/>
        </w:rPr>
        <w:t>Narasimham</w:t>
      </w:r>
      <w:proofErr w:type="spellEnd"/>
      <w:r w:rsidRPr="005F7CD0">
        <w:rPr>
          <w:rFonts w:ascii="Arial" w:hAnsi="Arial" w:cs="Arial"/>
          <w:bCs/>
          <w:sz w:val="24"/>
          <w:szCs w:val="24"/>
        </w:rPr>
        <w:t xml:space="preserve"> Committee (headed by M. </w:t>
      </w:r>
      <w:proofErr w:type="spellStart"/>
      <w:r w:rsidRPr="005F7CD0">
        <w:rPr>
          <w:rFonts w:ascii="Arial" w:hAnsi="Arial" w:cs="Arial"/>
          <w:bCs/>
          <w:sz w:val="24"/>
          <w:szCs w:val="24"/>
        </w:rPr>
        <w:t>Narasimham</w:t>
      </w:r>
      <w:proofErr w:type="spellEnd"/>
      <w:r w:rsidRPr="005F7CD0">
        <w:rPr>
          <w:rFonts w:ascii="Arial" w:hAnsi="Arial" w:cs="Arial"/>
          <w:bCs/>
          <w:sz w:val="24"/>
          <w:szCs w:val="24"/>
        </w:rPr>
        <w:t>, a former RBI Governor) to examine the banking sector and recommend reforms. The stage was set for an overhaul of Indian banking as part of the broader New Economic Policy of Liberalization, Privatization, and Globalization (LPG).</w:t>
      </w:r>
    </w:p>
    <w:p w:rsidR="005F7CD0" w:rsidRPr="005F7CD0" w:rsidRDefault="005F7CD0" w:rsidP="005F7CD0">
      <w:pPr>
        <w:rPr>
          <w:rFonts w:ascii="Arial" w:hAnsi="Arial" w:cs="Arial"/>
          <w:b/>
          <w:bCs/>
          <w:sz w:val="24"/>
          <w:szCs w:val="24"/>
        </w:rPr>
      </w:pPr>
      <w:r w:rsidRPr="005F7CD0">
        <w:rPr>
          <w:rFonts w:ascii="Arial" w:hAnsi="Arial" w:cs="Arial"/>
          <w:b/>
          <w:bCs/>
          <w:sz w:val="24"/>
          <w:szCs w:val="24"/>
        </w:rPr>
        <w:lastRenderedPageBreak/>
        <w:t xml:space="preserve"> Phase I Reforms (1991–1997): </w:t>
      </w:r>
      <w:proofErr w:type="spellStart"/>
      <w:r w:rsidRPr="005F7CD0">
        <w:rPr>
          <w:rFonts w:ascii="Arial" w:hAnsi="Arial" w:cs="Arial"/>
          <w:b/>
          <w:bCs/>
          <w:sz w:val="24"/>
          <w:szCs w:val="24"/>
        </w:rPr>
        <w:t>Narasimham</w:t>
      </w:r>
      <w:proofErr w:type="spellEnd"/>
      <w:r w:rsidRPr="005F7CD0">
        <w:rPr>
          <w:rFonts w:ascii="Arial" w:hAnsi="Arial" w:cs="Arial"/>
          <w:b/>
          <w:bCs/>
          <w:sz w:val="24"/>
          <w:szCs w:val="24"/>
        </w:rPr>
        <w:t xml:space="preserve"> Committee I</w:t>
      </w:r>
    </w:p>
    <w:p w:rsidR="005F7CD0" w:rsidRPr="005F7CD0" w:rsidRDefault="005F7CD0" w:rsidP="005F7CD0">
      <w:pPr>
        <w:jc w:val="both"/>
        <w:rPr>
          <w:rFonts w:ascii="Arial" w:hAnsi="Arial" w:cs="Arial"/>
          <w:bCs/>
          <w:sz w:val="24"/>
          <w:szCs w:val="24"/>
        </w:rPr>
      </w:pPr>
      <w:r w:rsidRPr="005F7CD0">
        <w:rPr>
          <w:rFonts w:ascii="Arial" w:hAnsi="Arial" w:cs="Arial"/>
          <w:bCs/>
          <w:sz w:val="24"/>
          <w:szCs w:val="24"/>
        </w:rPr>
        <w:t xml:space="preserve">The first wave of banking sector reforms in India began with the landmark report of the </w:t>
      </w:r>
      <w:proofErr w:type="spellStart"/>
      <w:r w:rsidRPr="005F7CD0">
        <w:rPr>
          <w:rFonts w:ascii="Arial" w:hAnsi="Arial" w:cs="Arial"/>
          <w:bCs/>
          <w:sz w:val="24"/>
          <w:szCs w:val="24"/>
        </w:rPr>
        <w:t>Narasimham</w:t>
      </w:r>
      <w:proofErr w:type="spellEnd"/>
      <w:r w:rsidRPr="005F7CD0">
        <w:rPr>
          <w:rFonts w:ascii="Arial" w:hAnsi="Arial" w:cs="Arial"/>
          <w:bCs/>
          <w:sz w:val="24"/>
          <w:szCs w:val="24"/>
        </w:rPr>
        <w:t xml:space="preserve"> Committee I in 1991. This committee was tasked with enhancing the solvency, efficiency, and health of the Indian banking system, which was grappling with financial repression, low profitability, and weak governance. Key recommendations of </w:t>
      </w:r>
      <w:proofErr w:type="spellStart"/>
      <w:r w:rsidRPr="005F7CD0">
        <w:rPr>
          <w:rFonts w:ascii="Arial" w:hAnsi="Arial" w:cs="Arial"/>
          <w:bCs/>
          <w:sz w:val="24"/>
          <w:szCs w:val="24"/>
        </w:rPr>
        <w:t>Narasimham</w:t>
      </w:r>
      <w:proofErr w:type="spellEnd"/>
      <w:r w:rsidRPr="005F7CD0">
        <w:rPr>
          <w:rFonts w:ascii="Arial" w:hAnsi="Arial" w:cs="Arial"/>
          <w:bCs/>
          <w:sz w:val="24"/>
          <w:szCs w:val="24"/>
        </w:rPr>
        <w:t xml:space="preserve"> Committee I included:</w:t>
      </w:r>
    </w:p>
    <w:p w:rsidR="005F7CD0" w:rsidRPr="005F7CD0" w:rsidRDefault="005F7CD0" w:rsidP="005F7CD0">
      <w:pPr>
        <w:jc w:val="both"/>
        <w:rPr>
          <w:rFonts w:ascii="Arial" w:hAnsi="Arial" w:cs="Arial"/>
          <w:bCs/>
          <w:sz w:val="24"/>
          <w:szCs w:val="24"/>
        </w:rPr>
      </w:pPr>
      <w:r w:rsidRPr="005F7CD0">
        <w:rPr>
          <w:rFonts w:ascii="Arial" w:hAnsi="Arial" w:cs="Arial"/>
          <w:b/>
          <w:bCs/>
          <w:sz w:val="24"/>
          <w:szCs w:val="24"/>
        </w:rPr>
        <w:t>a. Reduction of SLR and CRR:</w:t>
      </w:r>
      <w:r w:rsidRPr="005F7CD0">
        <w:rPr>
          <w:rFonts w:ascii="Arial" w:hAnsi="Arial" w:cs="Arial"/>
          <w:bCs/>
          <w:sz w:val="24"/>
          <w:szCs w:val="24"/>
        </w:rPr>
        <w:t xml:space="preserve"> One of the committee's key recommendations was the gradual reduction of the Statutory Liquidity Ratio (SLR) and the Cash Reserve Ratio (CRR), which stood at 38.5% and 15% respectively—among the highest in the world. These high pre-emption requirements limited banks’ lending capacity. Following the committee’s advice, these ratios were reduced significantly over the decade, freeing up resources for lending to the private sector.</w:t>
      </w:r>
    </w:p>
    <w:p w:rsidR="005F7CD0" w:rsidRPr="005F7CD0" w:rsidRDefault="005F7CD0" w:rsidP="005F7CD0">
      <w:pPr>
        <w:jc w:val="both"/>
        <w:rPr>
          <w:rFonts w:ascii="Arial" w:hAnsi="Arial" w:cs="Arial"/>
          <w:bCs/>
          <w:sz w:val="24"/>
          <w:szCs w:val="24"/>
        </w:rPr>
      </w:pPr>
      <w:r w:rsidRPr="005F7CD0">
        <w:rPr>
          <w:rFonts w:ascii="Arial" w:hAnsi="Arial" w:cs="Arial"/>
          <w:b/>
          <w:bCs/>
          <w:sz w:val="24"/>
          <w:szCs w:val="24"/>
        </w:rPr>
        <w:t>b. Phasing Out Directed Credit:</w:t>
      </w:r>
      <w:r w:rsidRPr="005F7CD0">
        <w:rPr>
          <w:rFonts w:ascii="Arial" w:hAnsi="Arial" w:cs="Arial"/>
          <w:bCs/>
          <w:sz w:val="24"/>
          <w:szCs w:val="24"/>
        </w:rPr>
        <w:t xml:space="preserve"> Another major reform was the recommendation to phase out rigid “directed credit” requirements. Banks were previously mandated to lend 40% of their credit to priority sectors, often at subsidized rates. While priority sector lending was retained, its scope was redefined, and interest rates were gradually deregulated.</w:t>
      </w:r>
    </w:p>
    <w:p w:rsidR="005F7CD0" w:rsidRPr="005F7CD0" w:rsidRDefault="005F7CD0" w:rsidP="005F7CD0">
      <w:pPr>
        <w:jc w:val="both"/>
        <w:rPr>
          <w:rFonts w:ascii="Arial" w:hAnsi="Arial" w:cs="Arial"/>
          <w:bCs/>
          <w:sz w:val="24"/>
          <w:szCs w:val="24"/>
        </w:rPr>
      </w:pPr>
      <w:r w:rsidRPr="005F7CD0">
        <w:rPr>
          <w:rFonts w:ascii="Arial" w:hAnsi="Arial" w:cs="Arial"/>
          <w:b/>
          <w:bCs/>
          <w:sz w:val="24"/>
          <w:szCs w:val="24"/>
        </w:rPr>
        <w:t>c. Interest Rate Deregulation:</w:t>
      </w:r>
      <w:r w:rsidRPr="005F7CD0">
        <w:rPr>
          <w:rFonts w:ascii="Arial" w:hAnsi="Arial" w:cs="Arial"/>
          <w:bCs/>
          <w:sz w:val="24"/>
          <w:szCs w:val="24"/>
        </w:rPr>
        <w:t xml:space="preserve"> The committee also advocated for a shift to market-based interest rate mechanisms. Over the next few years, RBI moved toward deregulating deposit and lending rates, allowing banks more flexibility in pricing their products.</w:t>
      </w:r>
    </w:p>
    <w:p w:rsidR="005F7CD0" w:rsidRPr="005F7CD0" w:rsidRDefault="005F7CD0" w:rsidP="005F7CD0">
      <w:pPr>
        <w:jc w:val="both"/>
        <w:rPr>
          <w:rFonts w:ascii="Arial" w:hAnsi="Arial" w:cs="Arial"/>
          <w:bCs/>
          <w:sz w:val="24"/>
          <w:szCs w:val="24"/>
        </w:rPr>
      </w:pPr>
      <w:proofErr w:type="gramStart"/>
      <w:r w:rsidRPr="005F7CD0">
        <w:rPr>
          <w:rFonts w:ascii="Arial" w:hAnsi="Arial" w:cs="Arial"/>
          <w:b/>
          <w:bCs/>
          <w:sz w:val="24"/>
          <w:szCs w:val="24"/>
        </w:rPr>
        <w:t>d. Bank</w:t>
      </w:r>
      <w:proofErr w:type="gramEnd"/>
      <w:r w:rsidRPr="005F7CD0">
        <w:rPr>
          <w:rFonts w:ascii="Arial" w:hAnsi="Arial" w:cs="Arial"/>
          <w:b/>
          <w:bCs/>
          <w:sz w:val="24"/>
          <w:szCs w:val="24"/>
        </w:rPr>
        <w:t xml:space="preserve"> Autonomy and Liberalization:</w:t>
      </w:r>
      <w:r w:rsidRPr="005F7CD0">
        <w:rPr>
          <w:rFonts w:ascii="Arial" w:hAnsi="Arial" w:cs="Arial"/>
          <w:sz w:val="24"/>
          <w:szCs w:val="24"/>
        </w:rPr>
        <w:t xml:space="preserve"> </w:t>
      </w:r>
      <w:r w:rsidRPr="005F7CD0">
        <w:rPr>
          <w:rFonts w:ascii="Arial" w:hAnsi="Arial" w:cs="Arial"/>
          <w:bCs/>
          <w:sz w:val="24"/>
          <w:szCs w:val="24"/>
        </w:rPr>
        <w:t>To modernize the sector, the committee recommended operational autonomy for banks, ending the restrictive branch licensing regime, and permitting the entry of private banks. In response, new-generation private banks like HDFC Bank and ICICI Bank were established in 1993. Foreign banks were also given greater freedom to expand.</w:t>
      </w:r>
    </w:p>
    <w:p w:rsidR="005F7CD0" w:rsidRPr="005F7CD0" w:rsidRDefault="005F7CD0" w:rsidP="005F7CD0">
      <w:pPr>
        <w:jc w:val="both"/>
        <w:rPr>
          <w:rFonts w:ascii="Arial" w:hAnsi="Arial" w:cs="Arial"/>
          <w:bCs/>
          <w:sz w:val="24"/>
          <w:szCs w:val="24"/>
        </w:rPr>
      </w:pPr>
      <w:r w:rsidRPr="005F7CD0">
        <w:rPr>
          <w:rFonts w:ascii="Arial" w:hAnsi="Arial" w:cs="Arial"/>
          <w:b/>
          <w:bCs/>
          <w:sz w:val="24"/>
          <w:szCs w:val="24"/>
        </w:rPr>
        <w:t>e. Restructuring and Strengthening Banks:</w:t>
      </w:r>
      <w:r w:rsidRPr="005F7CD0">
        <w:rPr>
          <w:rFonts w:ascii="Arial" w:hAnsi="Arial" w:cs="Arial"/>
          <w:bCs/>
          <w:sz w:val="24"/>
          <w:szCs w:val="24"/>
        </w:rPr>
        <w:t xml:space="preserve"> Bank restructuring was another core agenda. Public sector banks (PSBs) were recapitalized by the government (to the tune of ₹20,000 </w:t>
      </w:r>
      <w:proofErr w:type="spellStart"/>
      <w:r w:rsidRPr="005F7CD0">
        <w:rPr>
          <w:rFonts w:ascii="Arial" w:hAnsi="Arial" w:cs="Arial"/>
          <w:bCs/>
          <w:sz w:val="24"/>
          <w:szCs w:val="24"/>
        </w:rPr>
        <w:t>crore</w:t>
      </w:r>
      <w:proofErr w:type="spellEnd"/>
      <w:r w:rsidRPr="005F7CD0">
        <w:rPr>
          <w:rFonts w:ascii="Arial" w:hAnsi="Arial" w:cs="Arial"/>
          <w:bCs/>
          <w:sz w:val="24"/>
          <w:szCs w:val="24"/>
        </w:rPr>
        <w:t>), and a framework was laid for them to raise market equity, provided government ownership remained above 51%. Prudential norms for asset classification and income recognition were introduced, revealing the actual scale of bad loans—gross NPAs crossed 20% of total advances in 1993. This led to a clean-up of bank balance sheets.</w:t>
      </w:r>
    </w:p>
    <w:p w:rsidR="005F7CD0" w:rsidRPr="005F7CD0" w:rsidRDefault="005F7CD0" w:rsidP="005F7CD0">
      <w:pPr>
        <w:jc w:val="both"/>
        <w:rPr>
          <w:rFonts w:ascii="Arial" w:hAnsi="Arial" w:cs="Arial"/>
          <w:bCs/>
          <w:sz w:val="24"/>
          <w:szCs w:val="24"/>
        </w:rPr>
      </w:pPr>
      <w:r w:rsidRPr="005F7CD0">
        <w:rPr>
          <w:rFonts w:ascii="Arial" w:hAnsi="Arial" w:cs="Arial"/>
          <w:b/>
          <w:bCs/>
          <w:sz w:val="24"/>
          <w:szCs w:val="24"/>
        </w:rPr>
        <w:t>f. Debt Recovery and Legal Changes:</w:t>
      </w:r>
      <w:r w:rsidRPr="005F7CD0">
        <w:rPr>
          <w:rFonts w:ascii="Arial" w:hAnsi="Arial" w:cs="Arial"/>
          <w:bCs/>
          <w:sz w:val="24"/>
          <w:szCs w:val="24"/>
        </w:rPr>
        <w:t xml:space="preserve">  To support loan recovery, the Recovery of Debts Due to Banks and Financial Institutions Act, 1993, was passed, creating Debt Recovery Tribunals (DRTs) to speed up resolution of bad debts. RBI also set up the Board for Financial Supervision (BFS) in 1994 to strengthen regulatory oversight.</w:t>
      </w:r>
    </w:p>
    <w:p w:rsidR="005F7CD0" w:rsidRPr="005F7CD0" w:rsidRDefault="005F7CD0" w:rsidP="005F7CD0">
      <w:pPr>
        <w:jc w:val="both"/>
        <w:rPr>
          <w:rFonts w:ascii="Arial" w:hAnsi="Arial" w:cs="Arial"/>
          <w:bCs/>
          <w:sz w:val="24"/>
          <w:szCs w:val="24"/>
        </w:rPr>
      </w:pPr>
      <w:r w:rsidRPr="005F7CD0">
        <w:rPr>
          <w:rFonts w:ascii="Arial" w:hAnsi="Arial" w:cs="Arial"/>
          <w:b/>
          <w:bCs/>
          <w:sz w:val="24"/>
          <w:szCs w:val="24"/>
        </w:rPr>
        <w:t>g. Strengthening Supervision:</w:t>
      </w:r>
      <w:r w:rsidRPr="005F7CD0">
        <w:rPr>
          <w:rFonts w:ascii="Arial" w:hAnsi="Arial" w:cs="Arial"/>
          <w:bCs/>
          <w:sz w:val="24"/>
          <w:szCs w:val="24"/>
        </w:rPr>
        <w:t xml:space="preserve"> The committee recommended empowering the RBI as the sole regulator for banks (ending dual control with the Finance Ministry) and improving bank accounting and disclosure standards. Following this, a Board for Financial Supervision (BFS) within RBI was created in 1994 to focus on bank supervision. Banks started publishing their financial results and NPAs in annual reports, increasing transparency.</w:t>
      </w:r>
    </w:p>
    <w:p w:rsidR="005F7CD0" w:rsidRPr="005F7CD0" w:rsidRDefault="005F7CD0" w:rsidP="005F7CD0">
      <w:pPr>
        <w:jc w:val="both"/>
        <w:rPr>
          <w:rFonts w:ascii="Arial" w:hAnsi="Arial" w:cs="Arial"/>
          <w:bCs/>
          <w:sz w:val="24"/>
          <w:szCs w:val="24"/>
        </w:rPr>
      </w:pPr>
      <w:r w:rsidRPr="005F7CD0">
        <w:rPr>
          <w:rFonts w:ascii="Arial" w:hAnsi="Arial" w:cs="Arial"/>
          <w:bCs/>
          <w:sz w:val="24"/>
          <w:szCs w:val="24"/>
        </w:rPr>
        <w:t>By the end of Phase I, significant progress had been made- market discipline had improved, private players had entered, and banks were adopting international norms. Gross NPAs fell from 23% in 1993 to around 16% by 1998, and profitability gradually returned to PSBs.</w:t>
      </w:r>
    </w:p>
    <w:p w:rsidR="005F7CD0" w:rsidRPr="005F7CD0" w:rsidRDefault="005F7CD0" w:rsidP="005F7CD0">
      <w:pPr>
        <w:rPr>
          <w:rFonts w:ascii="Arial" w:hAnsi="Arial" w:cs="Arial"/>
          <w:b/>
          <w:bCs/>
          <w:sz w:val="24"/>
          <w:szCs w:val="24"/>
        </w:rPr>
      </w:pPr>
      <w:r w:rsidRPr="005F7CD0">
        <w:rPr>
          <w:rFonts w:ascii="Arial" w:hAnsi="Arial" w:cs="Arial"/>
          <w:b/>
          <w:bCs/>
          <w:sz w:val="24"/>
          <w:szCs w:val="24"/>
        </w:rPr>
        <w:t xml:space="preserve"> Phase II Reforms (1998–2004): </w:t>
      </w:r>
      <w:proofErr w:type="spellStart"/>
      <w:r w:rsidRPr="005F7CD0">
        <w:rPr>
          <w:rFonts w:ascii="Arial" w:hAnsi="Arial" w:cs="Arial"/>
          <w:b/>
          <w:bCs/>
          <w:sz w:val="24"/>
          <w:szCs w:val="24"/>
        </w:rPr>
        <w:t>Narasimham</w:t>
      </w:r>
      <w:proofErr w:type="spellEnd"/>
      <w:r w:rsidRPr="005F7CD0">
        <w:rPr>
          <w:rFonts w:ascii="Arial" w:hAnsi="Arial" w:cs="Arial"/>
          <w:b/>
          <w:bCs/>
          <w:sz w:val="24"/>
          <w:szCs w:val="24"/>
        </w:rPr>
        <w:t xml:space="preserve"> Committee II</w:t>
      </w:r>
    </w:p>
    <w:p w:rsidR="005F7CD0" w:rsidRPr="005F7CD0" w:rsidRDefault="005F7CD0" w:rsidP="005F7CD0">
      <w:pPr>
        <w:jc w:val="both"/>
        <w:rPr>
          <w:rFonts w:ascii="Arial" w:hAnsi="Arial" w:cs="Arial"/>
          <w:bCs/>
          <w:sz w:val="24"/>
          <w:szCs w:val="24"/>
        </w:rPr>
      </w:pPr>
      <w:r w:rsidRPr="005F7CD0">
        <w:rPr>
          <w:rFonts w:ascii="Arial" w:hAnsi="Arial" w:cs="Arial"/>
          <w:bCs/>
          <w:sz w:val="24"/>
          <w:szCs w:val="24"/>
        </w:rPr>
        <w:t xml:space="preserve">To consolidate the gains of Phase I and respond to emerging challenges—including the Asian Financial Crisis—the government set up the </w:t>
      </w:r>
      <w:proofErr w:type="spellStart"/>
      <w:r w:rsidRPr="005F7CD0">
        <w:rPr>
          <w:rFonts w:ascii="Arial" w:hAnsi="Arial" w:cs="Arial"/>
          <w:bCs/>
          <w:sz w:val="24"/>
          <w:szCs w:val="24"/>
        </w:rPr>
        <w:t>Narasimham</w:t>
      </w:r>
      <w:proofErr w:type="spellEnd"/>
      <w:r w:rsidRPr="005F7CD0">
        <w:rPr>
          <w:rFonts w:ascii="Arial" w:hAnsi="Arial" w:cs="Arial"/>
          <w:bCs/>
          <w:sz w:val="24"/>
          <w:szCs w:val="24"/>
        </w:rPr>
        <w:t xml:space="preserve"> Committee II in 1998. This phase focused on structural strengthening and long-term competitiveness.</w:t>
      </w:r>
    </w:p>
    <w:p w:rsidR="005F7CD0" w:rsidRPr="005F7CD0" w:rsidRDefault="005F7CD0" w:rsidP="005F7CD0">
      <w:pPr>
        <w:rPr>
          <w:rFonts w:ascii="Arial" w:hAnsi="Arial" w:cs="Arial"/>
          <w:bCs/>
          <w:sz w:val="24"/>
          <w:szCs w:val="24"/>
        </w:rPr>
      </w:pPr>
      <w:r w:rsidRPr="005F7CD0">
        <w:rPr>
          <w:rFonts w:ascii="Arial" w:hAnsi="Arial" w:cs="Arial"/>
          <w:b/>
          <w:bCs/>
          <w:sz w:val="24"/>
          <w:szCs w:val="24"/>
        </w:rPr>
        <w:t xml:space="preserve"> </w:t>
      </w:r>
      <w:proofErr w:type="gramStart"/>
      <w:r w:rsidRPr="005F7CD0">
        <w:rPr>
          <w:rFonts w:ascii="Arial" w:hAnsi="Arial" w:cs="Arial"/>
          <w:b/>
          <w:bCs/>
          <w:sz w:val="24"/>
          <w:szCs w:val="24"/>
        </w:rPr>
        <w:t>a. Bank</w:t>
      </w:r>
      <w:proofErr w:type="gramEnd"/>
      <w:r w:rsidRPr="005F7CD0">
        <w:rPr>
          <w:rFonts w:ascii="Arial" w:hAnsi="Arial" w:cs="Arial"/>
          <w:b/>
          <w:bCs/>
          <w:sz w:val="24"/>
          <w:szCs w:val="24"/>
        </w:rPr>
        <w:t xml:space="preserve"> Consolidation and “Narrow Banking”:</w:t>
      </w:r>
      <w:r w:rsidRPr="005F7CD0">
        <w:rPr>
          <w:rFonts w:ascii="Arial" w:hAnsi="Arial" w:cs="Arial"/>
          <w:bCs/>
          <w:sz w:val="24"/>
          <w:szCs w:val="24"/>
        </w:rPr>
        <w:t xml:space="preserve"> The committee recommended the idea of “narrow banking” for weak PSBs—restricting their operations to safe investments like government securities until they stabilized. Simultaneously, it called for consolidation among strong banks to create fewer but stronger players. This led to several rounds of mergers among PSBs over the next two decades.</w:t>
      </w:r>
    </w:p>
    <w:p w:rsidR="005F7CD0" w:rsidRPr="005F7CD0" w:rsidRDefault="005F7CD0" w:rsidP="005F7CD0">
      <w:pPr>
        <w:rPr>
          <w:rFonts w:ascii="Arial" w:hAnsi="Arial" w:cs="Arial"/>
          <w:bCs/>
          <w:sz w:val="24"/>
          <w:szCs w:val="24"/>
        </w:rPr>
      </w:pPr>
      <w:r w:rsidRPr="005F7CD0">
        <w:rPr>
          <w:rFonts w:ascii="Arial" w:hAnsi="Arial" w:cs="Arial"/>
          <w:b/>
          <w:bCs/>
          <w:sz w:val="24"/>
          <w:szCs w:val="24"/>
        </w:rPr>
        <w:t>b. Government Ownership and Governance:</w:t>
      </w:r>
      <w:r w:rsidRPr="005F7CD0">
        <w:rPr>
          <w:rFonts w:ascii="Arial" w:hAnsi="Arial" w:cs="Arial"/>
          <w:bCs/>
          <w:sz w:val="24"/>
          <w:szCs w:val="24"/>
        </w:rPr>
        <w:t xml:space="preserve">  A significant recommendation was reducing government ownership in banks to below 51% to ensure operational autonomy and professional governance. Though politically sensitive, the government did dilute stakes in several PSBs to 51–60% through public offerings.</w:t>
      </w:r>
    </w:p>
    <w:p w:rsidR="005F7CD0" w:rsidRPr="005F7CD0" w:rsidRDefault="005F7CD0" w:rsidP="005F7CD0">
      <w:pPr>
        <w:rPr>
          <w:rFonts w:ascii="Arial" w:hAnsi="Arial" w:cs="Arial"/>
          <w:bCs/>
          <w:sz w:val="24"/>
          <w:szCs w:val="24"/>
        </w:rPr>
      </w:pPr>
      <w:r w:rsidRPr="005F7CD0">
        <w:rPr>
          <w:rFonts w:ascii="Arial" w:hAnsi="Arial" w:cs="Arial"/>
          <w:b/>
          <w:bCs/>
          <w:sz w:val="24"/>
          <w:szCs w:val="24"/>
        </w:rPr>
        <w:t>c. Higher Capital Adequacy and Basel Norms:</w:t>
      </w:r>
      <w:r w:rsidRPr="005F7CD0">
        <w:rPr>
          <w:rFonts w:ascii="Arial" w:hAnsi="Arial" w:cs="Arial"/>
          <w:bCs/>
          <w:sz w:val="24"/>
          <w:szCs w:val="24"/>
        </w:rPr>
        <w:t xml:space="preserve"> Capital adequacy was given high priority. The committee suggested increasing the minimum Capital Adequacy Ratio (CAR) to 10–12% and recommended that Indian banks adopt Basel II norms. RBI subsequently mandated a 9% CAR—above the Basel I requirement—and phased in Basel II by 2009.</w:t>
      </w:r>
    </w:p>
    <w:p w:rsidR="005F7CD0" w:rsidRPr="005F7CD0" w:rsidRDefault="005F7CD0" w:rsidP="005F7CD0">
      <w:pPr>
        <w:rPr>
          <w:rFonts w:ascii="Arial" w:hAnsi="Arial" w:cs="Arial"/>
          <w:bCs/>
          <w:sz w:val="24"/>
          <w:szCs w:val="24"/>
        </w:rPr>
      </w:pPr>
      <w:r w:rsidRPr="005F7CD0">
        <w:rPr>
          <w:rFonts w:ascii="Arial" w:hAnsi="Arial" w:cs="Arial"/>
          <w:b/>
          <w:bCs/>
          <w:sz w:val="24"/>
          <w:szCs w:val="24"/>
        </w:rPr>
        <w:t>d. Asset Quality and NPA Resolution:</w:t>
      </w:r>
      <w:r w:rsidRPr="005F7CD0">
        <w:rPr>
          <w:rFonts w:ascii="Arial" w:hAnsi="Arial" w:cs="Arial"/>
          <w:bCs/>
          <w:sz w:val="24"/>
          <w:szCs w:val="24"/>
        </w:rPr>
        <w:t xml:space="preserve">  To tackle the persistent NPA problem, the committee proposed the establishment of Asset Reconstruction Companies (ARCs). This led to the passage of the SARFAESI Act, 2002, empowering banks and ARCs to seize and auction assets of defaulters without lengthy court processes. This legal innovation significantly improved recovery rates.</w:t>
      </w:r>
    </w:p>
    <w:p w:rsidR="005F7CD0" w:rsidRPr="005F7CD0" w:rsidRDefault="005F7CD0" w:rsidP="005F7CD0">
      <w:pPr>
        <w:rPr>
          <w:rFonts w:ascii="Arial" w:hAnsi="Arial" w:cs="Arial"/>
          <w:bCs/>
          <w:sz w:val="24"/>
          <w:szCs w:val="24"/>
        </w:rPr>
      </w:pPr>
      <w:r w:rsidRPr="005F7CD0">
        <w:rPr>
          <w:rFonts w:ascii="Arial" w:hAnsi="Arial" w:cs="Arial"/>
          <w:b/>
          <w:bCs/>
          <w:sz w:val="24"/>
          <w:szCs w:val="24"/>
        </w:rPr>
        <w:t>e. RBI’s Role and Diversification:</w:t>
      </w:r>
      <w:r w:rsidRPr="005F7CD0">
        <w:rPr>
          <w:rFonts w:ascii="Arial" w:hAnsi="Arial" w:cs="Arial"/>
          <w:bCs/>
          <w:sz w:val="24"/>
          <w:szCs w:val="24"/>
        </w:rPr>
        <w:t xml:space="preserve">  The RBI’s role as a regulator was also addressed. The committee recommended that RBI withdraw from ownership roles in financial institutions and focus on its regulatory mandate. Consequently, RBI divested stakes in institutions like IDBI and ICICI. It also called for stronger supervision of NBFCs and greater development of bond markets to reduce dependence on bank credit.</w:t>
      </w:r>
    </w:p>
    <w:p w:rsidR="005F7CD0" w:rsidRPr="005F7CD0" w:rsidRDefault="005F7CD0" w:rsidP="005F7CD0">
      <w:pPr>
        <w:rPr>
          <w:rFonts w:ascii="Arial" w:hAnsi="Arial" w:cs="Arial"/>
          <w:bCs/>
          <w:sz w:val="24"/>
          <w:szCs w:val="24"/>
        </w:rPr>
      </w:pPr>
      <w:proofErr w:type="spellStart"/>
      <w:r w:rsidRPr="005F7CD0">
        <w:rPr>
          <w:rFonts w:ascii="Arial" w:hAnsi="Arial" w:cs="Arial"/>
          <w:bCs/>
          <w:sz w:val="24"/>
          <w:szCs w:val="24"/>
        </w:rPr>
        <w:t>Narasimham</w:t>
      </w:r>
      <w:proofErr w:type="spellEnd"/>
      <w:r w:rsidRPr="005F7CD0">
        <w:rPr>
          <w:rFonts w:ascii="Arial" w:hAnsi="Arial" w:cs="Arial"/>
          <w:bCs/>
          <w:sz w:val="24"/>
          <w:szCs w:val="24"/>
        </w:rPr>
        <w:t xml:space="preserve"> Committee II’s recommendations set the stage for the next wave of legislative and regulatory changes in the early 2000s. Many suggestions were progressively implemented – for example, SARFAESI Act 2002 for NPA management, higher capital norms, and consolidation moves. However, politically difficult issues like reducing government ownership in PSBs remained slow. Nonetheless, the late 1990s and early 2000s reforms resulted in a more robust and competitive banking sector: private banks grew rapidly, foreign banks </w:t>
      </w:r>
      <w:proofErr w:type="gramStart"/>
      <w:r w:rsidRPr="005F7CD0">
        <w:rPr>
          <w:rFonts w:ascii="Arial" w:hAnsi="Arial" w:cs="Arial"/>
          <w:bCs/>
          <w:sz w:val="24"/>
          <w:szCs w:val="24"/>
        </w:rPr>
        <w:t>expanded,</w:t>
      </w:r>
      <w:proofErr w:type="gramEnd"/>
      <w:r w:rsidRPr="005F7CD0">
        <w:rPr>
          <w:rFonts w:ascii="Arial" w:hAnsi="Arial" w:cs="Arial"/>
          <w:bCs/>
          <w:sz w:val="24"/>
          <w:szCs w:val="24"/>
        </w:rPr>
        <w:t xml:space="preserve"> and overall efficiency improved. By 2004, India’s banks had healthier balance sheets (low NPAs, higher capital) and were moving toward global standards.</w:t>
      </w:r>
    </w:p>
    <w:p w:rsidR="005F7CD0" w:rsidRPr="005F7CD0" w:rsidRDefault="005F7CD0" w:rsidP="005F7CD0">
      <w:pPr>
        <w:rPr>
          <w:rFonts w:ascii="Arial" w:hAnsi="Arial" w:cs="Arial"/>
          <w:b/>
          <w:bCs/>
          <w:sz w:val="24"/>
          <w:szCs w:val="24"/>
        </w:rPr>
      </w:pPr>
      <w:r w:rsidRPr="005F7CD0">
        <w:rPr>
          <w:rFonts w:ascii="Arial" w:hAnsi="Arial" w:cs="Arial"/>
          <w:b/>
          <w:bCs/>
          <w:sz w:val="24"/>
          <w:szCs w:val="24"/>
        </w:rPr>
        <w:t>Key Legislative Changes and Institutional Reforms (1990s–2000s)</w:t>
      </w:r>
    </w:p>
    <w:p w:rsidR="005F7CD0" w:rsidRPr="005F7CD0" w:rsidRDefault="005F7CD0" w:rsidP="005F7CD0">
      <w:pPr>
        <w:rPr>
          <w:rFonts w:ascii="Arial" w:hAnsi="Arial" w:cs="Arial"/>
          <w:sz w:val="24"/>
          <w:szCs w:val="24"/>
        </w:rPr>
      </w:pPr>
      <w:r w:rsidRPr="005F7CD0">
        <w:rPr>
          <w:rFonts w:ascii="Arial" w:hAnsi="Arial" w:cs="Arial"/>
          <w:sz w:val="24"/>
          <w:szCs w:val="24"/>
        </w:rPr>
        <w:t>The post-1991 reform period was marked by several important legislative and institutional steps to modernize the Indian banking system:</w:t>
      </w:r>
    </w:p>
    <w:p w:rsidR="005F7CD0" w:rsidRPr="005F7CD0" w:rsidRDefault="005F7CD0" w:rsidP="005F7CD0">
      <w:pPr>
        <w:rPr>
          <w:rFonts w:ascii="Arial" w:hAnsi="Arial" w:cs="Arial"/>
          <w:sz w:val="24"/>
          <w:szCs w:val="24"/>
        </w:rPr>
      </w:pPr>
      <w:r w:rsidRPr="005F7CD0">
        <w:rPr>
          <w:rFonts w:ascii="Arial" w:hAnsi="Arial" w:cs="Arial"/>
          <w:b/>
          <w:bCs/>
          <w:sz w:val="24"/>
          <w:szCs w:val="24"/>
        </w:rPr>
        <w:t>Recovery of Debts Due to Banks Act, 1993</w:t>
      </w:r>
      <w:r w:rsidRPr="005F7CD0">
        <w:rPr>
          <w:rFonts w:ascii="Arial" w:hAnsi="Arial" w:cs="Arial"/>
          <w:sz w:val="24"/>
          <w:szCs w:val="24"/>
        </w:rPr>
        <w:br/>
        <w:t xml:space="preserve">This Act established </w:t>
      </w:r>
      <w:r w:rsidRPr="005F7CD0">
        <w:rPr>
          <w:rFonts w:ascii="Arial" w:hAnsi="Arial" w:cs="Arial"/>
          <w:b/>
          <w:bCs/>
          <w:sz w:val="24"/>
          <w:szCs w:val="24"/>
        </w:rPr>
        <w:t>Debt Recovery Tribunals (DRTs)</w:t>
      </w:r>
      <w:r w:rsidRPr="005F7CD0">
        <w:rPr>
          <w:rFonts w:ascii="Arial" w:hAnsi="Arial" w:cs="Arial"/>
          <w:sz w:val="24"/>
          <w:szCs w:val="24"/>
        </w:rPr>
        <w:t xml:space="preserve"> to fast-track bad loan adjudication. While a pioneering effort, DRTs faced initial backlogs and enforcement hurdles.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SARFAESI Act, 2002: </w:t>
      </w:r>
      <w:r w:rsidRPr="005F7CD0">
        <w:rPr>
          <w:rFonts w:ascii="Arial" w:hAnsi="Arial" w:cs="Arial"/>
          <w:sz w:val="24"/>
          <w:szCs w:val="24"/>
        </w:rPr>
        <w:t xml:space="preserve">The </w:t>
      </w:r>
      <w:r w:rsidRPr="005F7CD0">
        <w:rPr>
          <w:rFonts w:ascii="Arial" w:hAnsi="Arial" w:cs="Arial"/>
          <w:bCs/>
          <w:sz w:val="24"/>
          <w:szCs w:val="24"/>
        </w:rPr>
        <w:t>Securitisation and Reconstruction of Financial Assets and Enforcement of Security Interest Act</w:t>
      </w:r>
      <w:r w:rsidRPr="005F7CD0">
        <w:rPr>
          <w:rFonts w:ascii="Arial" w:hAnsi="Arial" w:cs="Arial"/>
          <w:sz w:val="24"/>
          <w:szCs w:val="24"/>
        </w:rPr>
        <w:t xml:space="preserve"> allowed banks to enforce security interests (e.g., seize collateral) without court approval after 60 days of default. It also enabled the creation of </w:t>
      </w:r>
      <w:r w:rsidRPr="005F7CD0">
        <w:rPr>
          <w:rFonts w:ascii="Arial" w:hAnsi="Arial" w:cs="Arial"/>
          <w:bCs/>
          <w:sz w:val="24"/>
          <w:szCs w:val="24"/>
        </w:rPr>
        <w:t>Asset Reconstruction Companies (ARCs)</w:t>
      </w:r>
      <w:r w:rsidRPr="005F7CD0">
        <w:rPr>
          <w:rFonts w:ascii="Arial" w:hAnsi="Arial" w:cs="Arial"/>
          <w:sz w:val="24"/>
          <w:szCs w:val="24"/>
        </w:rPr>
        <w:t xml:space="preserve">. This Act marked a major shift in NPA resolution—by 2008, gross NPAs had fallen to 2.4% of advances. Later amendments (2016) brought </w:t>
      </w:r>
      <w:r w:rsidRPr="005F7CD0">
        <w:rPr>
          <w:rFonts w:ascii="Arial" w:hAnsi="Arial" w:cs="Arial"/>
          <w:bCs/>
          <w:sz w:val="24"/>
          <w:szCs w:val="24"/>
        </w:rPr>
        <w:t>NBFCs</w:t>
      </w:r>
      <w:r w:rsidRPr="005F7CD0">
        <w:rPr>
          <w:rFonts w:ascii="Arial" w:hAnsi="Arial" w:cs="Arial"/>
          <w:sz w:val="24"/>
          <w:szCs w:val="24"/>
        </w:rPr>
        <w:t xml:space="preserve"> under its scope.</w:t>
      </w:r>
    </w:p>
    <w:p w:rsidR="005F7CD0" w:rsidRPr="005F7CD0" w:rsidRDefault="005F7CD0" w:rsidP="005F7CD0">
      <w:pPr>
        <w:rPr>
          <w:rFonts w:ascii="Arial" w:hAnsi="Arial" w:cs="Arial"/>
          <w:sz w:val="24"/>
          <w:szCs w:val="24"/>
        </w:rPr>
      </w:pPr>
      <w:r w:rsidRPr="005F7CD0">
        <w:rPr>
          <w:rFonts w:ascii="Arial" w:hAnsi="Arial" w:cs="Arial"/>
          <w:b/>
          <w:bCs/>
          <w:sz w:val="24"/>
          <w:szCs w:val="24"/>
        </w:rPr>
        <w:t>Banking Regulation (Amendment) Acts</w:t>
      </w:r>
    </w:p>
    <w:p w:rsidR="005F7CD0" w:rsidRPr="005F7CD0" w:rsidRDefault="005F7CD0" w:rsidP="005F7CD0">
      <w:pPr>
        <w:numPr>
          <w:ilvl w:val="0"/>
          <w:numId w:val="1"/>
        </w:numPr>
        <w:rPr>
          <w:rFonts w:ascii="Arial" w:hAnsi="Arial" w:cs="Arial"/>
          <w:sz w:val="24"/>
          <w:szCs w:val="24"/>
        </w:rPr>
      </w:pPr>
      <w:r w:rsidRPr="005F7CD0">
        <w:rPr>
          <w:rFonts w:ascii="Arial" w:hAnsi="Arial" w:cs="Arial"/>
          <w:b/>
          <w:bCs/>
          <w:sz w:val="24"/>
          <w:szCs w:val="24"/>
        </w:rPr>
        <w:t>1994:</w:t>
      </w:r>
      <w:r w:rsidRPr="005F7CD0">
        <w:rPr>
          <w:rFonts w:ascii="Arial" w:hAnsi="Arial" w:cs="Arial"/>
          <w:sz w:val="24"/>
          <w:szCs w:val="24"/>
        </w:rPr>
        <w:t xml:space="preserve"> Enabled licensing of new private banks.</w:t>
      </w:r>
    </w:p>
    <w:p w:rsidR="005F7CD0" w:rsidRPr="005F7CD0" w:rsidRDefault="005F7CD0" w:rsidP="005F7CD0">
      <w:pPr>
        <w:numPr>
          <w:ilvl w:val="0"/>
          <w:numId w:val="1"/>
        </w:numPr>
        <w:rPr>
          <w:rFonts w:ascii="Arial" w:hAnsi="Arial" w:cs="Arial"/>
          <w:sz w:val="24"/>
          <w:szCs w:val="24"/>
        </w:rPr>
      </w:pPr>
      <w:r w:rsidRPr="005F7CD0">
        <w:rPr>
          <w:rFonts w:ascii="Arial" w:hAnsi="Arial" w:cs="Arial"/>
          <w:b/>
          <w:bCs/>
          <w:sz w:val="24"/>
          <w:szCs w:val="24"/>
        </w:rPr>
        <w:t>2012:</w:t>
      </w:r>
      <w:r w:rsidRPr="005F7CD0">
        <w:rPr>
          <w:rFonts w:ascii="Arial" w:hAnsi="Arial" w:cs="Arial"/>
          <w:sz w:val="24"/>
          <w:szCs w:val="24"/>
        </w:rPr>
        <w:t xml:space="preserve"> Raised investor voting rights in private banks from 10% to 26%.</w:t>
      </w:r>
    </w:p>
    <w:p w:rsidR="005F7CD0" w:rsidRPr="005F7CD0" w:rsidRDefault="005F7CD0" w:rsidP="005F7CD0">
      <w:pPr>
        <w:numPr>
          <w:ilvl w:val="0"/>
          <w:numId w:val="1"/>
        </w:numPr>
        <w:rPr>
          <w:rFonts w:ascii="Arial" w:hAnsi="Arial" w:cs="Arial"/>
          <w:sz w:val="24"/>
          <w:szCs w:val="24"/>
        </w:rPr>
      </w:pPr>
      <w:r w:rsidRPr="005F7CD0">
        <w:rPr>
          <w:rFonts w:ascii="Arial" w:hAnsi="Arial" w:cs="Arial"/>
          <w:b/>
          <w:bCs/>
          <w:sz w:val="24"/>
          <w:szCs w:val="24"/>
        </w:rPr>
        <w:t>2017:</w:t>
      </w:r>
      <w:r w:rsidRPr="005F7CD0">
        <w:rPr>
          <w:rFonts w:ascii="Arial" w:hAnsi="Arial" w:cs="Arial"/>
          <w:sz w:val="24"/>
          <w:szCs w:val="24"/>
        </w:rPr>
        <w:t xml:space="preserve"> Empowered RBI to direct banks to initiate insolvency under the new IBC.</w:t>
      </w:r>
    </w:p>
    <w:p w:rsidR="005F7CD0" w:rsidRPr="005F7CD0" w:rsidRDefault="005F7CD0" w:rsidP="005F7CD0">
      <w:pPr>
        <w:numPr>
          <w:ilvl w:val="0"/>
          <w:numId w:val="1"/>
        </w:numPr>
        <w:rPr>
          <w:rFonts w:ascii="Arial" w:hAnsi="Arial" w:cs="Arial"/>
          <w:sz w:val="24"/>
          <w:szCs w:val="24"/>
        </w:rPr>
      </w:pPr>
      <w:r w:rsidRPr="005F7CD0">
        <w:rPr>
          <w:rFonts w:ascii="Arial" w:hAnsi="Arial" w:cs="Arial"/>
          <w:b/>
          <w:bCs/>
          <w:sz w:val="24"/>
          <w:szCs w:val="24"/>
        </w:rPr>
        <w:t>2020:</w:t>
      </w:r>
      <w:r w:rsidRPr="005F7CD0">
        <w:rPr>
          <w:rFonts w:ascii="Arial" w:hAnsi="Arial" w:cs="Arial"/>
          <w:sz w:val="24"/>
          <w:szCs w:val="24"/>
        </w:rPr>
        <w:t xml:space="preserve"> Brought </w:t>
      </w:r>
      <w:r w:rsidRPr="005F7CD0">
        <w:rPr>
          <w:rFonts w:ascii="Arial" w:hAnsi="Arial" w:cs="Arial"/>
          <w:bCs/>
          <w:sz w:val="24"/>
          <w:szCs w:val="24"/>
        </w:rPr>
        <w:t>cooperative banks</w:t>
      </w:r>
      <w:r w:rsidRPr="005F7CD0">
        <w:rPr>
          <w:rFonts w:ascii="Arial" w:hAnsi="Arial" w:cs="Arial"/>
          <w:sz w:val="24"/>
          <w:szCs w:val="24"/>
        </w:rPr>
        <w:t xml:space="preserve"> under RBI regulation after notable co-op bank failures.</w:t>
      </w:r>
    </w:p>
    <w:p w:rsidR="005F7CD0" w:rsidRPr="005F7CD0" w:rsidRDefault="005F7CD0" w:rsidP="005F7CD0">
      <w:pPr>
        <w:rPr>
          <w:rFonts w:ascii="Arial" w:hAnsi="Arial" w:cs="Arial"/>
          <w:sz w:val="24"/>
          <w:szCs w:val="24"/>
        </w:rPr>
      </w:pPr>
      <w:r w:rsidRPr="005F7CD0">
        <w:rPr>
          <w:rFonts w:ascii="Arial" w:hAnsi="Arial" w:cs="Arial"/>
          <w:b/>
          <w:bCs/>
          <w:sz w:val="24"/>
          <w:szCs w:val="24"/>
        </w:rPr>
        <w:t>Institutional Reforms</w:t>
      </w:r>
    </w:p>
    <w:p w:rsidR="005F7CD0" w:rsidRPr="005F7CD0" w:rsidRDefault="005F7CD0" w:rsidP="005F7CD0">
      <w:pPr>
        <w:numPr>
          <w:ilvl w:val="0"/>
          <w:numId w:val="2"/>
        </w:numPr>
        <w:rPr>
          <w:rFonts w:ascii="Arial" w:hAnsi="Arial" w:cs="Arial"/>
          <w:sz w:val="24"/>
          <w:szCs w:val="24"/>
        </w:rPr>
      </w:pPr>
      <w:r w:rsidRPr="005F7CD0">
        <w:rPr>
          <w:rFonts w:ascii="Arial" w:hAnsi="Arial" w:cs="Arial"/>
          <w:bCs/>
          <w:sz w:val="24"/>
          <w:szCs w:val="24"/>
        </w:rPr>
        <w:t>Board for Financial Supervision (1994):</w:t>
      </w:r>
      <w:r w:rsidRPr="005F7CD0">
        <w:rPr>
          <w:rFonts w:ascii="Arial" w:hAnsi="Arial" w:cs="Arial"/>
          <w:sz w:val="24"/>
          <w:szCs w:val="24"/>
        </w:rPr>
        <w:t xml:space="preserve"> Strengthened RBI's supervisory capacity.</w:t>
      </w:r>
    </w:p>
    <w:p w:rsidR="005F7CD0" w:rsidRPr="005F7CD0" w:rsidRDefault="005F7CD0" w:rsidP="005F7CD0">
      <w:pPr>
        <w:numPr>
          <w:ilvl w:val="0"/>
          <w:numId w:val="2"/>
        </w:numPr>
        <w:rPr>
          <w:rFonts w:ascii="Arial" w:hAnsi="Arial" w:cs="Arial"/>
          <w:sz w:val="24"/>
          <w:szCs w:val="24"/>
        </w:rPr>
      </w:pPr>
      <w:r w:rsidRPr="005F7CD0">
        <w:rPr>
          <w:rFonts w:ascii="Arial" w:hAnsi="Arial" w:cs="Arial"/>
          <w:bCs/>
          <w:sz w:val="24"/>
          <w:szCs w:val="24"/>
        </w:rPr>
        <w:t>CIBIL (2000):</w:t>
      </w:r>
      <w:r w:rsidRPr="005F7CD0">
        <w:rPr>
          <w:rFonts w:ascii="Arial" w:hAnsi="Arial" w:cs="Arial"/>
          <w:sz w:val="24"/>
          <w:szCs w:val="24"/>
        </w:rPr>
        <w:t xml:space="preserve"> Enhanced credit history sharing, supported by the </w:t>
      </w:r>
      <w:r w:rsidRPr="005F7CD0">
        <w:rPr>
          <w:rFonts w:ascii="Arial" w:hAnsi="Arial" w:cs="Arial"/>
          <w:bCs/>
          <w:sz w:val="24"/>
          <w:szCs w:val="24"/>
        </w:rPr>
        <w:t>Credit Information Companies Act (2005)</w:t>
      </w:r>
      <w:r w:rsidRPr="005F7CD0">
        <w:rPr>
          <w:rFonts w:ascii="Arial" w:hAnsi="Arial" w:cs="Arial"/>
          <w:sz w:val="24"/>
          <w:szCs w:val="24"/>
        </w:rPr>
        <w:t>.</w:t>
      </w:r>
    </w:p>
    <w:p w:rsidR="005F7CD0" w:rsidRPr="005F7CD0" w:rsidRDefault="005F7CD0" w:rsidP="005F7CD0">
      <w:pPr>
        <w:numPr>
          <w:ilvl w:val="0"/>
          <w:numId w:val="2"/>
        </w:numPr>
        <w:rPr>
          <w:rFonts w:ascii="Arial" w:hAnsi="Arial" w:cs="Arial"/>
          <w:sz w:val="24"/>
          <w:szCs w:val="24"/>
        </w:rPr>
      </w:pPr>
      <w:r w:rsidRPr="005F7CD0">
        <w:rPr>
          <w:rFonts w:ascii="Arial" w:hAnsi="Arial" w:cs="Arial"/>
          <w:bCs/>
          <w:sz w:val="24"/>
          <w:szCs w:val="24"/>
        </w:rPr>
        <w:t>BCSBI (2006):</w:t>
      </w:r>
      <w:r w:rsidRPr="005F7CD0">
        <w:rPr>
          <w:rFonts w:ascii="Arial" w:hAnsi="Arial" w:cs="Arial"/>
          <w:sz w:val="24"/>
          <w:szCs w:val="24"/>
        </w:rPr>
        <w:t xml:space="preserve"> Promoted customer rights through fair practice codes.</w:t>
      </w:r>
    </w:p>
    <w:p w:rsidR="005F7CD0" w:rsidRPr="005F7CD0" w:rsidRDefault="005F7CD0" w:rsidP="005F7CD0">
      <w:pPr>
        <w:numPr>
          <w:ilvl w:val="0"/>
          <w:numId w:val="2"/>
        </w:numPr>
        <w:rPr>
          <w:rFonts w:ascii="Arial" w:hAnsi="Arial" w:cs="Arial"/>
          <w:sz w:val="24"/>
          <w:szCs w:val="24"/>
        </w:rPr>
      </w:pPr>
      <w:r w:rsidRPr="005F7CD0">
        <w:rPr>
          <w:rFonts w:ascii="Arial" w:hAnsi="Arial" w:cs="Arial"/>
          <w:bCs/>
          <w:sz w:val="24"/>
          <w:szCs w:val="24"/>
        </w:rPr>
        <w:t>Bank Board Bureau (2016):</w:t>
      </w:r>
      <w:r w:rsidRPr="005F7CD0">
        <w:rPr>
          <w:rFonts w:ascii="Arial" w:hAnsi="Arial" w:cs="Arial"/>
          <w:sz w:val="24"/>
          <w:szCs w:val="24"/>
        </w:rPr>
        <w:t xml:space="preserve"> Formed under the </w:t>
      </w:r>
      <w:proofErr w:type="spellStart"/>
      <w:r w:rsidRPr="005F7CD0">
        <w:rPr>
          <w:rFonts w:ascii="Arial" w:hAnsi="Arial" w:cs="Arial"/>
          <w:bCs/>
          <w:sz w:val="24"/>
          <w:szCs w:val="24"/>
        </w:rPr>
        <w:t>Indradhanush</w:t>
      </w:r>
      <w:proofErr w:type="spellEnd"/>
      <w:r w:rsidRPr="005F7CD0">
        <w:rPr>
          <w:rFonts w:ascii="Arial" w:hAnsi="Arial" w:cs="Arial"/>
          <w:bCs/>
          <w:sz w:val="24"/>
          <w:szCs w:val="24"/>
        </w:rPr>
        <w:t xml:space="preserve"> framework</w:t>
      </w:r>
      <w:r w:rsidRPr="005F7CD0">
        <w:rPr>
          <w:rFonts w:ascii="Arial" w:hAnsi="Arial" w:cs="Arial"/>
          <w:sz w:val="24"/>
          <w:szCs w:val="24"/>
        </w:rPr>
        <w:t xml:space="preserve"> to improve governance and leadership in PSBs.</w:t>
      </w:r>
    </w:p>
    <w:p w:rsidR="005F7CD0" w:rsidRPr="005F7CD0" w:rsidRDefault="005F7CD0" w:rsidP="005F7CD0">
      <w:pPr>
        <w:rPr>
          <w:rFonts w:ascii="Arial" w:hAnsi="Arial" w:cs="Arial"/>
          <w:sz w:val="24"/>
          <w:szCs w:val="24"/>
        </w:rPr>
      </w:pPr>
      <w:r w:rsidRPr="005F7CD0">
        <w:rPr>
          <w:rFonts w:ascii="Arial" w:hAnsi="Arial" w:cs="Arial"/>
          <w:b/>
          <w:bCs/>
          <w:sz w:val="24"/>
          <w:szCs w:val="24"/>
        </w:rPr>
        <w:t>Legal Reforms for Insolvency</w:t>
      </w:r>
    </w:p>
    <w:p w:rsidR="005F7CD0" w:rsidRPr="005F7CD0" w:rsidRDefault="005F7CD0" w:rsidP="005F7CD0">
      <w:pPr>
        <w:numPr>
          <w:ilvl w:val="0"/>
          <w:numId w:val="3"/>
        </w:numPr>
        <w:rPr>
          <w:rFonts w:ascii="Arial" w:hAnsi="Arial" w:cs="Arial"/>
          <w:sz w:val="24"/>
          <w:szCs w:val="24"/>
        </w:rPr>
      </w:pPr>
      <w:r w:rsidRPr="005F7CD0">
        <w:rPr>
          <w:rFonts w:ascii="Arial" w:hAnsi="Arial" w:cs="Arial"/>
          <w:b/>
          <w:bCs/>
          <w:sz w:val="24"/>
          <w:szCs w:val="24"/>
        </w:rPr>
        <w:t>Insolvency and Bankruptcy Code (IBC), 2016:</w:t>
      </w:r>
      <w:r w:rsidRPr="005F7CD0">
        <w:rPr>
          <w:rFonts w:ascii="Arial" w:hAnsi="Arial" w:cs="Arial"/>
          <w:sz w:val="24"/>
          <w:szCs w:val="24"/>
        </w:rPr>
        <w:t xml:space="preserve"> Created a unified, time-bound resolution process, allowing creditors to take control of defaulting firms. It revolutionized the borrower-creditor dynamic.</w:t>
      </w:r>
    </w:p>
    <w:p w:rsidR="005F7CD0" w:rsidRPr="005F7CD0" w:rsidRDefault="005F7CD0" w:rsidP="005F7CD0">
      <w:pPr>
        <w:numPr>
          <w:ilvl w:val="0"/>
          <w:numId w:val="3"/>
        </w:numPr>
        <w:rPr>
          <w:rFonts w:ascii="Arial" w:hAnsi="Arial" w:cs="Arial"/>
          <w:sz w:val="24"/>
          <w:szCs w:val="24"/>
        </w:rPr>
      </w:pPr>
      <w:r w:rsidRPr="005F7CD0">
        <w:rPr>
          <w:rFonts w:ascii="Arial" w:hAnsi="Arial" w:cs="Arial"/>
          <w:b/>
          <w:bCs/>
          <w:sz w:val="24"/>
          <w:szCs w:val="24"/>
        </w:rPr>
        <w:t>Fugitive Economic Offenders Act, 2018:</w:t>
      </w:r>
      <w:r w:rsidRPr="005F7CD0">
        <w:rPr>
          <w:rFonts w:ascii="Arial" w:hAnsi="Arial" w:cs="Arial"/>
          <w:sz w:val="24"/>
          <w:szCs w:val="24"/>
        </w:rPr>
        <w:t xml:space="preserve"> Allowed confiscation of assets from absconding defaulters, enhancing legal deterrence.</w:t>
      </w:r>
    </w:p>
    <w:p w:rsidR="005F7CD0" w:rsidRPr="005F7CD0" w:rsidRDefault="005F7CD0" w:rsidP="005F7CD0">
      <w:pPr>
        <w:rPr>
          <w:rFonts w:ascii="Arial" w:hAnsi="Arial" w:cs="Arial"/>
          <w:sz w:val="24"/>
          <w:szCs w:val="24"/>
        </w:rPr>
      </w:pPr>
      <w:r w:rsidRPr="005F7CD0">
        <w:rPr>
          <w:rFonts w:ascii="Arial" w:hAnsi="Arial" w:cs="Arial"/>
          <w:sz w:val="24"/>
          <w:szCs w:val="24"/>
        </w:rPr>
        <w:t>These reforms built a robust legal and institutional framework, empowering banks to recover loans, manage risks, and operate more efficiently. By the mid-2000s, India's banking regulatory regime was more aligned with global norms, setting the foundation for financial inclusion and digital expansion in the coming years.</w:t>
      </w:r>
    </w:p>
    <w:p w:rsidR="005F7CD0" w:rsidRPr="005F7CD0" w:rsidRDefault="005F7CD0" w:rsidP="005F7CD0">
      <w:pPr>
        <w:rPr>
          <w:rFonts w:ascii="Arial" w:hAnsi="Arial" w:cs="Arial"/>
          <w:b/>
          <w:bCs/>
          <w:sz w:val="24"/>
          <w:szCs w:val="24"/>
        </w:rPr>
      </w:pPr>
      <w:r w:rsidRPr="005F7CD0">
        <w:rPr>
          <w:rFonts w:ascii="Arial" w:hAnsi="Arial" w:cs="Arial"/>
          <w:b/>
          <w:bCs/>
          <w:sz w:val="24"/>
          <w:szCs w:val="24"/>
        </w:rPr>
        <w:t xml:space="preserve"> Mid-2000s to 2015: Financial Inclusion and New Initiatives</w:t>
      </w:r>
    </w:p>
    <w:p w:rsidR="005F7CD0" w:rsidRPr="005F7CD0" w:rsidRDefault="005F7CD0" w:rsidP="005F7CD0">
      <w:pPr>
        <w:rPr>
          <w:rFonts w:ascii="Arial" w:hAnsi="Arial" w:cs="Arial"/>
          <w:sz w:val="24"/>
          <w:szCs w:val="24"/>
        </w:rPr>
      </w:pPr>
      <w:r w:rsidRPr="005F7CD0">
        <w:rPr>
          <w:rFonts w:ascii="Arial" w:hAnsi="Arial" w:cs="Arial"/>
          <w:sz w:val="24"/>
          <w:szCs w:val="24"/>
        </w:rPr>
        <w:t>Between the mid-2000s and 2015, banking reforms expanded to focus on financial inclusion, tech adoption, and improving public sector banks’ (PSBs) performance.</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a. Nationalization to Consolidation: </w:t>
      </w:r>
      <w:r w:rsidRPr="005F7CD0">
        <w:rPr>
          <w:rFonts w:ascii="Arial" w:hAnsi="Arial" w:cs="Arial"/>
          <w:sz w:val="24"/>
          <w:szCs w:val="24"/>
        </w:rPr>
        <w:t xml:space="preserve">Although nationalization ended in 1980, consolidation gained traction in the 2000s. Committees led by </w:t>
      </w:r>
      <w:proofErr w:type="spellStart"/>
      <w:r w:rsidRPr="005F7CD0">
        <w:rPr>
          <w:rFonts w:ascii="Arial" w:hAnsi="Arial" w:cs="Arial"/>
          <w:sz w:val="24"/>
          <w:szCs w:val="24"/>
        </w:rPr>
        <w:t>Raghuram</w:t>
      </w:r>
      <w:proofErr w:type="spellEnd"/>
      <w:r w:rsidRPr="005F7CD0">
        <w:rPr>
          <w:rFonts w:ascii="Arial" w:hAnsi="Arial" w:cs="Arial"/>
          <w:sz w:val="24"/>
          <w:szCs w:val="24"/>
        </w:rPr>
        <w:t xml:space="preserve"> </w:t>
      </w:r>
      <w:proofErr w:type="spellStart"/>
      <w:r w:rsidRPr="005F7CD0">
        <w:rPr>
          <w:rFonts w:ascii="Arial" w:hAnsi="Arial" w:cs="Arial"/>
          <w:sz w:val="24"/>
          <w:szCs w:val="24"/>
        </w:rPr>
        <w:t>Rajan</w:t>
      </w:r>
      <w:proofErr w:type="spellEnd"/>
      <w:r w:rsidRPr="005F7CD0">
        <w:rPr>
          <w:rFonts w:ascii="Arial" w:hAnsi="Arial" w:cs="Arial"/>
          <w:sz w:val="24"/>
          <w:szCs w:val="24"/>
        </w:rPr>
        <w:t xml:space="preserve"> and </w:t>
      </w:r>
      <w:proofErr w:type="spellStart"/>
      <w:r w:rsidRPr="005F7CD0">
        <w:rPr>
          <w:rFonts w:ascii="Arial" w:hAnsi="Arial" w:cs="Arial"/>
          <w:sz w:val="24"/>
          <w:szCs w:val="24"/>
        </w:rPr>
        <w:t>Leeladhar</w:t>
      </w:r>
      <w:proofErr w:type="spellEnd"/>
      <w:r w:rsidRPr="005F7CD0">
        <w:rPr>
          <w:rFonts w:ascii="Arial" w:hAnsi="Arial" w:cs="Arial"/>
          <w:sz w:val="24"/>
          <w:szCs w:val="24"/>
        </w:rPr>
        <w:t xml:space="preserve"> (2008) recommended voluntary mergers for efficiency. One merger (SBI and State Bank of Indore) occurred in 2010. FDI limits in private banks were also liberalized (raised to 74% in 2004), bringing in foreign capital and expertise.</w:t>
      </w:r>
    </w:p>
    <w:p w:rsidR="005F7CD0" w:rsidRPr="005F7CD0" w:rsidRDefault="005F7CD0" w:rsidP="005F7CD0">
      <w:pPr>
        <w:rPr>
          <w:rFonts w:ascii="Arial" w:hAnsi="Arial" w:cs="Arial"/>
          <w:sz w:val="24"/>
          <w:szCs w:val="24"/>
        </w:rPr>
      </w:pPr>
      <w:proofErr w:type="gramStart"/>
      <w:r w:rsidRPr="005F7CD0">
        <w:rPr>
          <w:rFonts w:ascii="Arial" w:hAnsi="Arial" w:cs="Arial"/>
          <w:b/>
          <w:bCs/>
          <w:sz w:val="24"/>
          <w:szCs w:val="24"/>
        </w:rPr>
        <w:t>b</w:t>
      </w:r>
      <w:proofErr w:type="gramEnd"/>
      <w:r w:rsidRPr="005F7CD0">
        <w:rPr>
          <w:rFonts w:ascii="Arial" w:hAnsi="Arial" w:cs="Arial"/>
          <w:b/>
          <w:bCs/>
          <w:sz w:val="24"/>
          <w:szCs w:val="24"/>
        </w:rPr>
        <w:t xml:space="preserve">. </w:t>
      </w:r>
      <w:proofErr w:type="spellStart"/>
      <w:r w:rsidRPr="005F7CD0">
        <w:rPr>
          <w:rFonts w:ascii="Arial" w:hAnsi="Arial" w:cs="Arial"/>
          <w:b/>
          <w:bCs/>
          <w:sz w:val="24"/>
          <w:szCs w:val="24"/>
        </w:rPr>
        <w:t>Indradhanush</w:t>
      </w:r>
      <w:proofErr w:type="spellEnd"/>
      <w:r w:rsidRPr="005F7CD0">
        <w:rPr>
          <w:rFonts w:ascii="Arial" w:hAnsi="Arial" w:cs="Arial"/>
          <w:b/>
          <w:bCs/>
          <w:sz w:val="24"/>
          <w:szCs w:val="24"/>
        </w:rPr>
        <w:t xml:space="preserve"> Plan (2015): </w:t>
      </w:r>
      <w:r w:rsidRPr="005F7CD0">
        <w:rPr>
          <w:rFonts w:ascii="Arial" w:hAnsi="Arial" w:cs="Arial"/>
          <w:sz w:val="24"/>
          <w:szCs w:val="24"/>
        </w:rPr>
        <w:t>To tackle the growing NPA crisis and weak PSB performance, the government launched the 7-part “</w:t>
      </w:r>
      <w:proofErr w:type="spellStart"/>
      <w:r w:rsidRPr="005F7CD0">
        <w:rPr>
          <w:rFonts w:ascii="Arial" w:hAnsi="Arial" w:cs="Arial"/>
          <w:sz w:val="24"/>
          <w:szCs w:val="24"/>
        </w:rPr>
        <w:t>Indradhanush</w:t>
      </w:r>
      <w:proofErr w:type="spellEnd"/>
      <w:r w:rsidRPr="005F7CD0">
        <w:rPr>
          <w:rFonts w:ascii="Arial" w:hAnsi="Arial" w:cs="Arial"/>
          <w:sz w:val="24"/>
          <w:szCs w:val="24"/>
        </w:rPr>
        <w:t xml:space="preserve">” strategy, covering appointments, governance, capitalization, accountability, autonomy, and de-stressing bank balance sheets. It included </w:t>
      </w:r>
      <w:proofErr w:type="gramStart"/>
      <w:r w:rsidRPr="005F7CD0">
        <w:rPr>
          <w:rFonts w:ascii="Arial" w:hAnsi="Arial" w:cs="Arial"/>
          <w:sz w:val="24"/>
          <w:szCs w:val="24"/>
        </w:rPr>
        <w:t xml:space="preserve">₹70,000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in recapitalization (2015–2019)</w:t>
      </w:r>
      <w:proofErr w:type="gramEnd"/>
      <w:r w:rsidRPr="005F7CD0">
        <w:rPr>
          <w:rFonts w:ascii="Arial" w:hAnsi="Arial" w:cs="Arial"/>
          <w:sz w:val="24"/>
          <w:szCs w:val="24"/>
        </w:rPr>
        <w:t xml:space="preserve"> and created the Bank Board Bureau (BBB) for merit-based leadership appointments. Though it didn’t fix the NPA issue immediately, it laid the groundwork for stronger governance.</w:t>
      </w:r>
    </w:p>
    <w:p w:rsidR="005F7CD0" w:rsidRPr="005F7CD0" w:rsidRDefault="005F7CD0" w:rsidP="005F7CD0">
      <w:pPr>
        <w:rPr>
          <w:rFonts w:ascii="Arial" w:hAnsi="Arial" w:cs="Arial"/>
          <w:sz w:val="24"/>
          <w:szCs w:val="24"/>
        </w:rPr>
      </w:pPr>
      <w:proofErr w:type="gramStart"/>
      <w:r w:rsidRPr="005F7CD0">
        <w:rPr>
          <w:rFonts w:ascii="Arial" w:hAnsi="Arial" w:cs="Arial"/>
          <w:b/>
          <w:bCs/>
          <w:sz w:val="24"/>
          <w:szCs w:val="24"/>
        </w:rPr>
        <w:t>c</w:t>
      </w:r>
      <w:proofErr w:type="gramEnd"/>
      <w:r w:rsidRPr="005F7CD0">
        <w:rPr>
          <w:rFonts w:ascii="Arial" w:hAnsi="Arial" w:cs="Arial"/>
          <w:b/>
          <w:bCs/>
          <w:sz w:val="24"/>
          <w:szCs w:val="24"/>
        </w:rPr>
        <w:t xml:space="preserve">. </w:t>
      </w:r>
      <w:proofErr w:type="spellStart"/>
      <w:r w:rsidRPr="005F7CD0">
        <w:rPr>
          <w:rFonts w:ascii="Arial" w:hAnsi="Arial" w:cs="Arial"/>
          <w:b/>
          <w:bCs/>
          <w:sz w:val="24"/>
          <w:szCs w:val="24"/>
        </w:rPr>
        <w:t>Pradhan</w:t>
      </w:r>
      <w:proofErr w:type="spellEnd"/>
      <w:r w:rsidRPr="005F7CD0">
        <w:rPr>
          <w:rFonts w:ascii="Arial" w:hAnsi="Arial" w:cs="Arial"/>
          <w:b/>
          <w:bCs/>
          <w:sz w:val="24"/>
          <w:szCs w:val="24"/>
        </w:rPr>
        <w:t xml:space="preserve"> </w:t>
      </w:r>
      <w:proofErr w:type="spellStart"/>
      <w:r w:rsidRPr="005F7CD0">
        <w:rPr>
          <w:rFonts w:ascii="Arial" w:hAnsi="Arial" w:cs="Arial"/>
          <w:b/>
          <w:bCs/>
          <w:sz w:val="24"/>
          <w:szCs w:val="24"/>
        </w:rPr>
        <w:t>Mantri</w:t>
      </w:r>
      <w:proofErr w:type="spellEnd"/>
      <w:r w:rsidRPr="005F7CD0">
        <w:rPr>
          <w:rFonts w:ascii="Arial" w:hAnsi="Arial" w:cs="Arial"/>
          <w:b/>
          <w:bCs/>
          <w:sz w:val="24"/>
          <w:szCs w:val="24"/>
        </w:rPr>
        <w:t xml:space="preserve"> Jan </w:t>
      </w:r>
      <w:proofErr w:type="spellStart"/>
      <w:r w:rsidRPr="005F7CD0">
        <w:rPr>
          <w:rFonts w:ascii="Arial" w:hAnsi="Arial" w:cs="Arial"/>
          <w:b/>
          <w:bCs/>
          <w:sz w:val="24"/>
          <w:szCs w:val="24"/>
        </w:rPr>
        <w:t>Dhan</w:t>
      </w:r>
      <w:proofErr w:type="spellEnd"/>
      <w:r w:rsidRPr="005F7CD0">
        <w:rPr>
          <w:rFonts w:ascii="Arial" w:hAnsi="Arial" w:cs="Arial"/>
          <w:b/>
          <w:bCs/>
          <w:sz w:val="24"/>
          <w:szCs w:val="24"/>
        </w:rPr>
        <w:t xml:space="preserve"> </w:t>
      </w:r>
      <w:proofErr w:type="spellStart"/>
      <w:r w:rsidRPr="005F7CD0">
        <w:rPr>
          <w:rFonts w:ascii="Arial" w:hAnsi="Arial" w:cs="Arial"/>
          <w:b/>
          <w:bCs/>
          <w:sz w:val="24"/>
          <w:szCs w:val="24"/>
        </w:rPr>
        <w:t>Yojana</w:t>
      </w:r>
      <w:proofErr w:type="spellEnd"/>
      <w:r w:rsidRPr="005F7CD0">
        <w:rPr>
          <w:rFonts w:ascii="Arial" w:hAnsi="Arial" w:cs="Arial"/>
          <w:b/>
          <w:bCs/>
          <w:sz w:val="24"/>
          <w:szCs w:val="24"/>
        </w:rPr>
        <w:t xml:space="preserve"> (2014): </w:t>
      </w:r>
      <w:r w:rsidRPr="005F7CD0">
        <w:rPr>
          <w:rFonts w:ascii="Arial" w:hAnsi="Arial" w:cs="Arial"/>
          <w:sz w:val="24"/>
          <w:szCs w:val="24"/>
        </w:rPr>
        <w:t xml:space="preserve">Launched to ensure every household had access to banking, PMJDY led to the opening of over 54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zero-balance accounts by 2024. These accounts enabled targeted benefit transfers (DBT) and integrated social welfare delivery through formal banking channels.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d. Payments Banks &amp; Small Finance Banks (2015): </w:t>
      </w:r>
      <w:r w:rsidRPr="005F7CD0">
        <w:rPr>
          <w:rFonts w:ascii="Arial" w:hAnsi="Arial" w:cs="Arial"/>
          <w:sz w:val="24"/>
          <w:szCs w:val="24"/>
        </w:rPr>
        <w:t xml:space="preserve">RBI licensed 11 Payments Banks and 10 Small Finance Banks to promote inclusion. Payments Banks (e.g., India Post Payments Bank) offered deposit and remittance services, while SFBs (e.g., </w:t>
      </w:r>
      <w:proofErr w:type="spellStart"/>
      <w:r w:rsidRPr="005F7CD0">
        <w:rPr>
          <w:rFonts w:ascii="Arial" w:hAnsi="Arial" w:cs="Arial"/>
          <w:sz w:val="24"/>
          <w:szCs w:val="24"/>
        </w:rPr>
        <w:t>Ujjivan</w:t>
      </w:r>
      <w:proofErr w:type="spellEnd"/>
      <w:r w:rsidRPr="005F7CD0">
        <w:rPr>
          <w:rFonts w:ascii="Arial" w:hAnsi="Arial" w:cs="Arial"/>
          <w:sz w:val="24"/>
          <w:szCs w:val="24"/>
        </w:rPr>
        <w:t>, AU Bank) served small borrowers. These niche banks introduced more competition and innovation in underserved markets.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e. Technology and Innovation: </w:t>
      </w:r>
      <w:r w:rsidRPr="005F7CD0">
        <w:rPr>
          <w:rFonts w:ascii="Arial" w:hAnsi="Arial" w:cs="Arial"/>
          <w:sz w:val="24"/>
          <w:szCs w:val="24"/>
        </w:rPr>
        <w:t xml:space="preserve">Banks adopted Core Banking Systems (CBS), expanded ATMs, and offered online and mobile banking. Systems like NEFT and RTGS became </w:t>
      </w:r>
      <w:proofErr w:type="gramStart"/>
      <w:r w:rsidRPr="005F7CD0">
        <w:rPr>
          <w:rFonts w:ascii="Arial" w:hAnsi="Arial" w:cs="Arial"/>
          <w:sz w:val="24"/>
          <w:szCs w:val="24"/>
        </w:rPr>
        <w:t>mainstream</w:t>
      </w:r>
      <w:proofErr w:type="gramEnd"/>
      <w:r w:rsidRPr="005F7CD0">
        <w:rPr>
          <w:rFonts w:ascii="Arial" w:hAnsi="Arial" w:cs="Arial"/>
          <w:sz w:val="24"/>
          <w:szCs w:val="24"/>
        </w:rPr>
        <w:t xml:space="preserve">. RBI’s Digital Banking Working Group (2012) boosted digital efforts, paving the way for UPI and future </w:t>
      </w:r>
      <w:proofErr w:type="spellStart"/>
      <w:r w:rsidRPr="005F7CD0">
        <w:rPr>
          <w:rFonts w:ascii="Arial" w:hAnsi="Arial" w:cs="Arial"/>
          <w:sz w:val="24"/>
          <w:szCs w:val="24"/>
        </w:rPr>
        <w:t>fintech</w:t>
      </w:r>
      <w:proofErr w:type="spellEnd"/>
      <w:r w:rsidRPr="005F7CD0">
        <w:rPr>
          <w:rFonts w:ascii="Arial" w:hAnsi="Arial" w:cs="Arial"/>
          <w:sz w:val="24"/>
          <w:szCs w:val="24"/>
        </w:rPr>
        <w:t xml:space="preserve"> growth.</w:t>
      </w:r>
    </w:p>
    <w:p w:rsidR="005F7CD0" w:rsidRPr="005F7CD0" w:rsidRDefault="005F7CD0" w:rsidP="005F7CD0">
      <w:pPr>
        <w:rPr>
          <w:rFonts w:ascii="Arial" w:hAnsi="Arial" w:cs="Arial"/>
          <w:sz w:val="24"/>
          <w:szCs w:val="24"/>
        </w:rPr>
      </w:pPr>
      <w:r w:rsidRPr="005F7CD0">
        <w:rPr>
          <w:rFonts w:ascii="Arial" w:hAnsi="Arial" w:cs="Arial"/>
          <w:sz w:val="24"/>
          <w:szCs w:val="24"/>
        </w:rPr>
        <w:t xml:space="preserve">This period emphasized inclusion and modernization, preparing banks for future challenges. </w:t>
      </w:r>
      <w:proofErr w:type="spellStart"/>
      <w:r w:rsidRPr="005F7CD0">
        <w:rPr>
          <w:rFonts w:ascii="Arial" w:hAnsi="Arial" w:cs="Arial"/>
          <w:sz w:val="24"/>
          <w:szCs w:val="24"/>
        </w:rPr>
        <w:t>Indradhanush</w:t>
      </w:r>
      <w:proofErr w:type="spellEnd"/>
      <w:r w:rsidRPr="005F7CD0">
        <w:rPr>
          <w:rFonts w:ascii="Arial" w:hAnsi="Arial" w:cs="Arial"/>
          <w:sz w:val="24"/>
          <w:szCs w:val="24"/>
        </w:rPr>
        <w:t xml:space="preserve"> tried to fix PSB governance, new banks expanded access, and digital initiatives transformed service delivery. However, rising NPAs from infrastructure lending and economic slowdown by 2015 </w:t>
      </w:r>
      <w:proofErr w:type="spellStart"/>
      <w:r w:rsidRPr="005F7CD0">
        <w:rPr>
          <w:rFonts w:ascii="Arial" w:hAnsi="Arial" w:cs="Arial"/>
          <w:sz w:val="24"/>
          <w:szCs w:val="24"/>
        </w:rPr>
        <w:t>signaled</w:t>
      </w:r>
      <w:proofErr w:type="spellEnd"/>
      <w:r w:rsidRPr="005F7CD0">
        <w:rPr>
          <w:rFonts w:ascii="Arial" w:hAnsi="Arial" w:cs="Arial"/>
          <w:sz w:val="24"/>
          <w:szCs w:val="24"/>
        </w:rPr>
        <w:t xml:space="preserve"> the need for deeper reforms in the following years.</w:t>
      </w:r>
    </w:p>
    <w:p w:rsidR="005F7CD0" w:rsidRPr="004B6D7B" w:rsidRDefault="005F7CD0" w:rsidP="005F7CD0">
      <w:pPr>
        <w:rPr>
          <w:rFonts w:ascii="Arial" w:hAnsi="Arial" w:cs="Arial"/>
          <w:b/>
          <w:bCs/>
          <w:sz w:val="24"/>
          <w:szCs w:val="24"/>
        </w:rPr>
      </w:pPr>
      <w:r w:rsidRPr="004B6D7B">
        <w:rPr>
          <w:rFonts w:ascii="Arial" w:hAnsi="Arial" w:cs="Arial"/>
          <w:b/>
          <w:sz w:val="24"/>
          <w:szCs w:val="24"/>
        </w:rPr>
        <w:t xml:space="preserve"> Post-2015 Reforms: NPA Resolution, Recapitalization, and Consolidation</w:t>
      </w:r>
    </w:p>
    <w:p w:rsidR="005F7CD0" w:rsidRPr="005F7CD0" w:rsidRDefault="005F7CD0" w:rsidP="005F7CD0">
      <w:pPr>
        <w:rPr>
          <w:rFonts w:ascii="Arial" w:hAnsi="Arial" w:cs="Arial"/>
          <w:sz w:val="24"/>
          <w:szCs w:val="24"/>
        </w:rPr>
      </w:pPr>
      <w:r w:rsidRPr="005F7CD0">
        <w:rPr>
          <w:rFonts w:ascii="Arial" w:hAnsi="Arial" w:cs="Arial"/>
          <w:sz w:val="24"/>
          <w:szCs w:val="24"/>
        </w:rPr>
        <w:t>After 2015, banking sector reforms in India focused on resolving the mounting NPA crisis, strengthening public sector banks (PSBs) through recapitalization, consolidating fragmented institutions, and initiating discussions on privatization. Major components of this phase included the “4Rs” strategy, the Insolvency and Bankruptcy Code (IBC), large capital infusions, bank mergers, and the establishment of a bad bank.</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The NPA Crisis and the “4Rs” Strategy: </w:t>
      </w:r>
      <w:r w:rsidRPr="005F7CD0">
        <w:rPr>
          <w:rFonts w:ascii="Arial" w:hAnsi="Arial" w:cs="Arial"/>
          <w:sz w:val="24"/>
          <w:szCs w:val="24"/>
        </w:rPr>
        <w:t>By FY 2015-16, Indian banks—particularly PSBs—were grappling with high levels of non-performing assets (NPAs) due to economic stress and unsustainable lending practices. The RBI’s Asset Quality Review (AQR) revealed underreported NPAs, pushing gross NPA levels to 14.6% by March 2018.</w:t>
      </w:r>
      <w:r w:rsidRPr="005F7CD0">
        <w:rPr>
          <w:rFonts w:ascii="Arial" w:hAnsi="Arial" w:cs="Arial"/>
          <w:sz w:val="24"/>
          <w:szCs w:val="24"/>
        </w:rPr>
        <w:br/>
        <w:t>In response, the government implemented the “4Rs” strategy:</w:t>
      </w:r>
    </w:p>
    <w:p w:rsidR="005F7CD0" w:rsidRPr="005F7CD0" w:rsidRDefault="005F7CD0" w:rsidP="005F7CD0">
      <w:pPr>
        <w:numPr>
          <w:ilvl w:val="0"/>
          <w:numId w:val="4"/>
        </w:numPr>
        <w:rPr>
          <w:rFonts w:ascii="Arial" w:hAnsi="Arial" w:cs="Arial"/>
          <w:sz w:val="24"/>
          <w:szCs w:val="24"/>
        </w:rPr>
      </w:pPr>
      <w:r w:rsidRPr="005F7CD0">
        <w:rPr>
          <w:rFonts w:ascii="Arial" w:hAnsi="Arial" w:cs="Arial"/>
          <w:b/>
          <w:bCs/>
          <w:sz w:val="24"/>
          <w:szCs w:val="24"/>
        </w:rPr>
        <w:t>Recognition</w:t>
      </w:r>
      <w:r w:rsidRPr="005F7CD0">
        <w:rPr>
          <w:rFonts w:ascii="Arial" w:hAnsi="Arial" w:cs="Arial"/>
          <w:sz w:val="24"/>
          <w:szCs w:val="24"/>
        </w:rPr>
        <w:t xml:space="preserve"> of NPAs through stricter disclosure norms.</w:t>
      </w:r>
    </w:p>
    <w:p w:rsidR="005F7CD0" w:rsidRPr="005F7CD0" w:rsidRDefault="005F7CD0" w:rsidP="005F7CD0">
      <w:pPr>
        <w:numPr>
          <w:ilvl w:val="0"/>
          <w:numId w:val="4"/>
        </w:numPr>
        <w:rPr>
          <w:rFonts w:ascii="Arial" w:hAnsi="Arial" w:cs="Arial"/>
          <w:sz w:val="24"/>
          <w:szCs w:val="24"/>
        </w:rPr>
      </w:pPr>
      <w:proofErr w:type="gramStart"/>
      <w:r w:rsidRPr="005F7CD0">
        <w:rPr>
          <w:rFonts w:ascii="Arial" w:hAnsi="Arial" w:cs="Arial"/>
          <w:b/>
          <w:bCs/>
          <w:sz w:val="24"/>
          <w:szCs w:val="24"/>
        </w:rPr>
        <w:t>Resolution</w:t>
      </w:r>
      <w:r w:rsidRPr="005F7CD0">
        <w:rPr>
          <w:rFonts w:ascii="Arial" w:hAnsi="Arial" w:cs="Arial"/>
          <w:sz w:val="24"/>
          <w:szCs w:val="24"/>
        </w:rPr>
        <w:t xml:space="preserve"> using legal tools like</w:t>
      </w:r>
      <w:proofErr w:type="gramEnd"/>
      <w:r w:rsidRPr="005F7CD0">
        <w:rPr>
          <w:rFonts w:ascii="Arial" w:hAnsi="Arial" w:cs="Arial"/>
          <w:sz w:val="24"/>
          <w:szCs w:val="24"/>
        </w:rPr>
        <w:t xml:space="preserve"> the IBC and SARFAESI Act.</w:t>
      </w:r>
    </w:p>
    <w:p w:rsidR="005F7CD0" w:rsidRPr="005F7CD0" w:rsidRDefault="005F7CD0" w:rsidP="005F7CD0">
      <w:pPr>
        <w:numPr>
          <w:ilvl w:val="0"/>
          <w:numId w:val="4"/>
        </w:numPr>
        <w:rPr>
          <w:rFonts w:ascii="Arial" w:hAnsi="Arial" w:cs="Arial"/>
          <w:sz w:val="24"/>
          <w:szCs w:val="24"/>
        </w:rPr>
      </w:pPr>
      <w:r w:rsidRPr="005F7CD0">
        <w:rPr>
          <w:rFonts w:ascii="Arial" w:hAnsi="Arial" w:cs="Arial"/>
          <w:b/>
          <w:bCs/>
          <w:sz w:val="24"/>
          <w:szCs w:val="24"/>
        </w:rPr>
        <w:t>Recapitalization</w:t>
      </w:r>
      <w:r w:rsidRPr="005F7CD0">
        <w:rPr>
          <w:rFonts w:ascii="Arial" w:hAnsi="Arial" w:cs="Arial"/>
          <w:sz w:val="24"/>
          <w:szCs w:val="24"/>
        </w:rPr>
        <w:t xml:space="preserve"> with over ₹2.7 lakh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infused into PSBs between FY 2017–2019.</w:t>
      </w:r>
    </w:p>
    <w:p w:rsidR="005F7CD0" w:rsidRPr="005F7CD0" w:rsidRDefault="005F7CD0" w:rsidP="005F7CD0">
      <w:pPr>
        <w:numPr>
          <w:ilvl w:val="0"/>
          <w:numId w:val="4"/>
        </w:numPr>
        <w:rPr>
          <w:rFonts w:ascii="Arial" w:hAnsi="Arial" w:cs="Arial"/>
          <w:sz w:val="24"/>
          <w:szCs w:val="24"/>
        </w:rPr>
      </w:pPr>
      <w:r w:rsidRPr="005F7CD0">
        <w:rPr>
          <w:rFonts w:ascii="Arial" w:hAnsi="Arial" w:cs="Arial"/>
          <w:b/>
          <w:bCs/>
          <w:sz w:val="24"/>
          <w:szCs w:val="24"/>
        </w:rPr>
        <w:t>Reform</w:t>
      </w:r>
      <w:r w:rsidRPr="005F7CD0">
        <w:rPr>
          <w:rFonts w:ascii="Arial" w:hAnsi="Arial" w:cs="Arial"/>
          <w:sz w:val="24"/>
          <w:szCs w:val="24"/>
        </w:rPr>
        <w:t xml:space="preserve"> through governance improvements under the EASE agenda.</w:t>
      </w:r>
    </w:p>
    <w:p w:rsidR="005F7CD0" w:rsidRPr="005F7CD0" w:rsidRDefault="005F7CD0" w:rsidP="005F7CD0">
      <w:pPr>
        <w:rPr>
          <w:rFonts w:ascii="Arial" w:hAnsi="Arial" w:cs="Arial"/>
          <w:sz w:val="24"/>
          <w:szCs w:val="24"/>
        </w:rPr>
      </w:pPr>
      <w:r w:rsidRPr="005F7CD0">
        <w:rPr>
          <w:rFonts w:ascii="Arial" w:hAnsi="Arial" w:cs="Arial"/>
          <w:sz w:val="24"/>
          <w:szCs w:val="24"/>
        </w:rPr>
        <w:t>These measures improved transparency, initiated recoveries, and laid the foundation for long-term banking stability.</w:t>
      </w:r>
    </w:p>
    <w:p w:rsidR="005F7CD0" w:rsidRPr="005F7CD0" w:rsidRDefault="005F7CD0" w:rsidP="005F7CD0">
      <w:pPr>
        <w:rPr>
          <w:rFonts w:ascii="Arial" w:hAnsi="Arial" w:cs="Arial"/>
          <w:sz w:val="24"/>
          <w:szCs w:val="24"/>
        </w:rPr>
      </w:pPr>
      <w:r w:rsidRPr="005F7CD0">
        <w:rPr>
          <w:rFonts w:ascii="Arial" w:hAnsi="Arial" w:cs="Arial"/>
          <w:b/>
          <w:bCs/>
          <w:sz w:val="24"/>
          <w:szCs w:val="24"/>
        </w:rPr>
        <w:t>b. Insolvency and Bankruptcy Code (IBC), 2016</w:t>
      </w:r>
      <w:r w:rsidRPr="005F7CD0">
        <w:rPr>
          <w:rFonts w:ascii="Arial" w:hAnsi="Arial" w:cs="Arial"/>
          <w:sz w:val="24"/>
          <w:szCs w:val="24"/>
        </w:rPr>
        <w:br/>
      </w:r>
      <w:proofErr w:type="gramStart"/>
      <w:r w:rsidRPr="005F7CD0">
        <w:rPr>
          <w:rFonts w:ascii="Arial" w:hAnsi="Arial" w:cs="Arial"/>
          <w:sz w:val="24"/>
          <w:szCs w:val="24"/>
        </w:rPr>
        <w:t>A</w:t>
      </w:r>
      <w:proofErr w:type="gramEnd"/>
      <w:r w:rsidRPr="005F7CD0">
        <w:rPr>
          <w:rFonts w:ascii="Arial" w:hAnsi="Arial" w:cs="Arial"/>
          <w:sz w:val="24"/>
          <w:szCs w:val="24"/>
        </w:rPr>
        <w:t xml:space="preserve"> major pillar of resolution, the IBC introduced a time-bound insolvency process and empowered creditors. Large defaulters were referred to NCLT, resulting in high-value recoveries. By FY 2018-19, banks recovered ₹1.23 lakh </w:t>
      </w:r>
      <w:proofErr w:type="spellStart"/>
      <w:r w:rsidRPr="005F7CD0">
        <w:rPr>
          <w:rFonts w:ascii="Arial" w:hAnsi="Arial" w:cs="Arial"/>
          <w:sz w:val="24"/>
          <w:szCs w:val="24"/>
        </w:rPr>
        <w:t>crore</w:t>
      </w:r>
      <w:proofErr w:type="spellEnd"/>
      <w:r w:rsidRPr="005F7CD0">
        <w:rPr>
          <w:rFonts w:ascii="Arial" w:hAnsi="Arial" w:cs="Arial"/>
          <w:sz w:val="24"/>
          <w:szCs w:val="24"/>
        </w:rPr>
        <w:t>.</w:t>
      </w:r>
      <w:r w:rsidRPr="005F7CD0">
        <w:rPr>
          <w:rFonts w:ascii="Arial" w:hAnsi="Arial" w:cs="Arial"/>
          <w:sz w:val="24"/>
          <w:szCs w:val="24"/>
        </w:rPr>
        <w:br/>
        <w:t>The IBC also changed borrower behaviour, discouraged delays, and complemented reforms like amendments to SARFAESI, increased DRT thresholds, and creation of specialized asset management teams within banks.</w:t>
      </w:r>
    </w:p>
    <w:p w:rsidR="005F7CD0" w:rsidRPr="005F7CD0" w:rsidRDefault="005F7CD0" w:rsidP="005F7CD0">
      <w:pPr>
        <w:rPr>
          <w:rFonts w:ascii="Arial" w:hAnsi="Arial" w:cs="Arial"/>
          <w:sz w:val="24"/>
          <w:szCs w:val="24"/>
        </w:rPr>
      </w:pPr>
      <w:proofErr w:type="gramStart"/>
      <w:r w:rsidRPr="005F7CD0">
        <w:rPr>
          <w:rFonts w:ascii="Arial" w:hAnsi="Arial" w:cs="Arial"/>
          <w:b/>
          <w:bCs/>
          <w:sz w:val="24"/>
          <w:szCs w:val="24"/>
        </w:rPr>
        <w:t>c.  Recapitalization</w:t>
      </w:r>
      <w:proofErr w:type="gramEnd"/>
      <w:r w:rsidRPr="005F7CD0">
        <w:rPr>
          <w:rFonts w:ascii="Arial" w:hAnsi="Arial" w:cs="Arial"/>
          <w:b/>
          <w:bCs/>
          <w:sz w:val="24"/>
          <w:szCs w:val="24"/>
        </w:rPr>
        <w:t xml:space="preserve"> of PSBs</w:t>
      </w:r>
      <w:r w:rsidRPr="005F7CD0">
        <w:rPr>
          <w:rFonts w:ascii="Arial" w:hAnsi="Arial" w:cs="Arial"/>
          <w:sz w:val="24"/>
          <w:szCs w:val="24"/>
        </w:rPr>
        <w:br/>
        <w:t xml:space="preserve">To offset losses from stressed assets, the government provided over ₹3 lakh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in capital support between FY 2015-16 and FY 2021-22. This enabled PSBs to meet Basel III norms, resume lending, and restore investor confidence. By 2021, the CRAR of PSBs rose to 14% from about 11% in 2015.</w:t>
      </w:r>
    </w:p>
    <w:p w:rsidR="005F7CD0" w:rsidRPr="005F7CD0" w:rsidRDefault="005F7CD0" w:rsidP="005F7CD0">
      <w:pPr>
        <w:rPr>
          <w:rFonts w:ascii="Arial" w:hAnsi="Arial" w:cs="Arial"/>
          <w:sz w:val="24"/>
          <w:szCs w:val="24"/>
        </w:rPr>
      </w:pPr>
      <w:proofErr w:type="gramStart"/>
      <w:r w:rsidRPr="005F7CD0">
        <w:rPr>
          <w:rFonts w:ascii="Arial" w:hAnsi="Arial" w:cs="Arial"/>
          <w:b/>
          <w:bCs/>
          <w:sz w:val="24"/>
          <w:szCs w:val="24"/>
        </w:rPr>
        <w:t>d</w:t>
      </w:r>
      <w:proofErr w:type="gramEnd"/>
      <w:r w:rsidRPr="005F7CD0">
        <w:rPr>
          <w:rFonts w:ascii="Arial" w:hAnsi="Arial" w:cs="Arial"/>
          <w:b/>
          <w:bCs/>
          <w:sz w:val="24"/>
          <w:szCs w:val="24"/>
        </w:rPr>
        <w:t>. Bank Mergers and Consolidation</w:t>
      </w:r>
      <w:r w:rsidRPr="005F7CD0">
        <w:rPr>
          <w:rFonts w:ascii="Arial" w:hAnsi="Arial" w:cs="Arial"/>
          <w:sz w:val="24"/>
          <w:szCs w:val="24"/>
        </w:rPr>
        <w:br/>
        <w:t>To enhance scale and efficiency, PSBs were consolidated. SBI absorbed its associate banks in 2017, and in 2019, 10 PSBs were merged into 4, reducing the number of PSBs from 27 to 12 by 2020. While operationally complex, the consolidation resulted in stronger, more competitive banks with greater reach and improved capital positions.</w:t>
      </w:r>
    </w:p>
    <w:p w:rsidR="005F7CD0" w:rsidRPr="005F7CD0" w:rsidRDefault="005F7CD0" w:rsidP="005F7CD0">
      <w:pPr>
        <w:rPr>
          <w:rFonts w:ascii="Arial" w:hAnsi="Arial" w:cs="Arial"/>
          <w:sz w:val="24"/>
          <w:szCs w:val="24"/>
        </w:rPr>
      </w:pPr>
      <w:proofErr w:type="gramStart"/>
      <w:r w:rsidRPr="005F7CD0">
        <w:rPr>
          <w:rFonts w:ascii="Arial" w:hAnsi="Arial" w:cs="Arial"/>
          <w:b/>
          <w:bCs/>
          <w:sz w:val="24"/>
          <w:szCs w:val="24"/>
        </w:rPr>
        <w:t>e</w:t>
      </w:r>
      <w:proofErr w:type="gramEnd"/>
      <w:r w:rsidRPr="005F7CD0">
        <w:rPr>
          <w:rFonts w:ascii="Arial" w:hAnsi="Arial" w:cs="Arial"/>
          <w:b/>
          <w:bCs/>
          <w:sz w:val="24"/>
          <w:szCs w:val="24"/>
        </w:rPr>
        <w:t>. Bad Bank (NARCL) Initiative</w:t>
      </w:r>
      <w:r w:rsidRPr="005F7CD0">
        <w:rPr>
          <w:rFonts w:ascii="Arial" w:hAnsi="Arial" w:cs="Arial"/>
          <w:sz w:val="24"/>
          <w:szCs w:val="24"/>
        </w:rPr>
        <w:br/>
        <w:t xml:space="preserve">In 2021, the National Asset Reconstruction Company Ltd (NARCL) was launched to resolve legacy NPAs. Backed by PSBs, NARCL aimed to acquire and manage stressed assets over ₹500 </w:t>
      </w:r>
      <w:proofErr w:type="spellStart"/>
      <w:r w:rsidRPr="005F7CD0">
        <w:rPr>
          <w:rFonts w:ascii="Arial" w:hAnsi="Arial" w:cs="Arial"/>
          <w:sz w:val="24"/>
          <w:szCs w:val="24"/>
        </w:rPr>
        <w:t>crore</w:t>
      </w:r>
      <w:proofErr w:type="spellEnd"/>
      <w:r w:rsidRPr="005F7CD0">
        <w:rPr>
          <w:rFonts w:ascii="Arial" w:hAnsi="Arial" w:cs="Arial"/>
          <w:sz w:val="24"/>
          <w:szCs w:val="24"/>
        </w:rPr>
        <w:t>, with partial government guarantees. By FY 2024, it had started acquiring assets, aiming to clean up around ₹2 trillion in bad loans by FY26.</w:t>
      </w:r>
    </w:p>
    <w:p w:rsidR="005F7CD0" w:rsidRPr="005F7CD0" w:rsidRDefault="005F7CD0" w:rsidP="005F7CD0">
      <w:pPr>
        <w:rPr>
          <w:rFonts w:ascii="Arial" w:hAnsi="Arial" w:cs="Arial"/>
          <w:b/>
          <w:bCs/>
          <w:sz w:val="24"/>
          <w:szCs w:val="24"/>
        </w:rPr>
      </w:pPr>
      <w:r w:rsidRPr="005F7CD0">
        <w:rPr>
          <w:rFonts w:ascii="Arial" w:hAnsi="Arial" w:cs="Arial"/>
          <w:b/>
          <w:bCs/>
          <w:sz w:val="24"/>
          <w:szCs w:val="24"/>
        </w:rPr>
        <w:t xml:space="preserve"> Digital Transformation and Financial Inclusion in the 2010s</w:t>
      </w:r>
    </w:p>
    <w:p w:rsidR="005F7CD0" w:rsidRPr="005F7CD0" w:rsidRDefault="005F7CD0" w:rsidP="005F7CD0">
      <w:pPr>
        <w:rPr>
          <w:rFonts w:ascii="Arial" w:hAnsi="Arial" w:cs="Arial"/>
          <w:bCs/>
          <w:sz w:val="24"/>
          <w:szCs w:val="24"/>
        </w:rPr>
      </w:pPr>
      <w:r w:rsidRPr="005F7CD0">
        <w:rPr>
          <w:rFonts w:ascii="Arial" w:hAnsi="Arial" w:cs="Arial"/>
          <w:bCs/>
          <w:sz w:val="24"/>
          <w:szCs w:val="24"/>
        </w:rPr>
        <w:t>Since 2010, India has witnessed a remarkable digital revolution in its banking sector, reshaping how financial services are delivered and accessed. A blend of policy initiatives, technological breakthroughs, and wide-scale adoption has positioned India as a global leader in digital financial infrastructure.</w:t>
      </w:r>
    </w:p>
    <w:p w:rsidR="005F7CD0" w:rsidRPr="005F7CD0" w:rsidRDefault="005F7CD0" w:rsidP="005F7CD0">
      <w:pPr>
        <w:rPr>
          <w:rFonts w:ascii="Arial" w:hAnsi="Arial" w:cs="Arial"/>
          <w:bCs/>
          <w:sz w:val="24"/>
          <w:szCs w:val="24"/>
        </w:rPr>
      </w:pPr>
      <w:proofErr w:type="gramStart"/>
      <w:r w:rsidRPr="005F7CD0">
        <w:rPr>
          <w:rFonts w:ascii="Arial" w:hAnsi="Arial" w:cs="Arial"/>
          <w:b/>
          <w:bCs/>
          <w:sz w:val="24"/>
          <w:szCs w:val="24"/>
        </w:rPr>
        <w:t>a</w:t>
      </w:r>
      <w:proofErr w:type="gramEnd"/>
      <w:r w:rsidRPr="005F7CD0">
        <w:rPr>
          <w:rFonts w:ascii="Arial" w:hAnsi="Arial" w:cs="Arial"/>
          <w:b/>
          <w:bCs/>
          <w:sz w:val="24"/>
          <w:szCs w:val="24"/>
        </w:rPr>
        <w:t>. Unified Payments Interface (UPI):</w:t>
      </w:r>
      <w:r w:rsidRPr="005F7CD0">
        <w:rPr>
          <w:rFonts w:ascii="Arial" w:hAnsi="Arial" w:cs="Arial"/>
          <w:bCs/>
          <w:sz w:val="24"/>
          <w:szCs w:val="24"/>
        </w:rPr>
        <w:t xml:space="preserve"> Launched in 2016 by NPCI under RBI’s guidance, UPI transformed everyday payments by enabling instant, 24/7 bank-to-bank transfers through a simple mobile interface. By 2022, UPI recorded over 7.4 billion transactions annually, making India the world’s largest real-time payments market. The success of UPI came from its interoperability—banks and </w:t>
      </w:r>
      <w:proofErr w:type="spellStart"/>
      <w:r w:rsidRPr="005F7CD0">
        <w:rPr>
          <w:rFonts w:ascii="Arial" w:hAnsi="Arial" w:cs="Arial"/>
          <w:bCs/>
          <w:sz w:val="24"/>
          <w:szCs w:val="24"/>
        </w:rPr>
        <w:t>fintech</w:t>
      </w:r>
      <w:proofErr w:type="spellEnd"/>
      <w:r w:rsidRPr="005F7CD0">
        <w:rPr>
          <w:rFonts w:ascii="Arial" w:hAnsi="Arial" w:cs="Arial"/>
          <w:bCs/>
          <w:sz w:val="24"/>
          <w:szCs w:val="24"/>
        </w:rPr>
        <w:t xml:space="preserve"> apps collaborated, and platforms like Google Pay and </w:t>
      </w:r>
      <w:proofErr w:type="spellStart"/>
      <w:r w:rsidRPr="005F7CD0">
        <w:rPr>
          <w:rFonts w:ascii="Arial" w:hAnsi="Arial" w:cs="Arial"/>
          <w:bCs/>
          <w:sz w:val="24"/>
          <w:szCs w:val="24"/>
        </w:rPr>
        <w:t>PhonePe</w:t>
      </w:r>
      <w:proofErr w:type="spellEnd"/>
      <w:r w:rsidRPr="005F7CD0">
        <w:rPr>
          <w:rFonts w:ascii="Arial" w:hAnsi="Arial" w:cs="Arial"/>
          <w:bCs/>
          <w:sz w:val="24"/>
          <w:szCs w:val="24"/>
        </w:rPr>
        <w:t xml:space="preserve"> reached millions. UPI also made banking accessible in remote areas by linking bank accounts to mobile numbers, fostering financial inclusion and reducing reliance on cash.</w:t>
      </w:r>
    </w:p>
    <w:p w:rsidR="005F7CD0" w:rsidRPr="005F7CD0" w:rsidRDefault="005F7CD0" w:rsidP="005F7CD0">
      <w:pPr>
        <w:rPr>
          <w:rFonts w:ascii="Arial" w:hAnsi="Arial" w:cs="Arial"/>
          <w:bCs/>
          <w:sz w:val="24"/>
          <w:szCs w:val="24"/>
        </w:rPr>
      </w:pPr>
      <w:proofErr w:type="gramStart"/>
      <w:r w:rsidRPr="005F7CD0">
        <w:rPr>
          <w:rFonts w:ascii="Arial" w:hAnsi="Arial" w:cs="Arial"/>
          <w:b/>
          <w:bCs/>
          <w:sz w:val="24"/>
          <w:szCs w:val="24"/>
        </w:rPr>
        <w:t>b</w:t>
      </w:r>
      <w:proofErr w:type="gramEnd"/>
      <w:r w:rsidRPr="005F7CD0">
        <w:rPr>
          <w:rFonts w:ascii="Arial" w:hAnsi="Arial" w:cs="Arial"/>
          <w:b/>
          <w:bCs/>
          <w:sz w:val="24"/>
          <w:szCs w:val="24"/>
        </w:rPr>
        <w:t xml:space="preserve">. Direct Benefit Transfer (DBT) and </w:t>
      </w:r>
      <w:proofErr w:type="spellStart"/>
      <w:r w:rsidRPr="005F7CD0">
        <w:rPr>
          <w:rFonts w:ascii="Arial" w:hAnsi="Arial" w:cs="Arial"/>
          <w:b/>
          <w:bCs/>
          <w:sz w:val="24"/>
          <w:szCs w:val="24"/>
        </w:rPr>
        <w:t>Aadhaar</w:t>
      </w:r>
      <w:proofErr w:type="spellEnd"/>
      <w:r w:rsidRPr="005F7CD0">
        <w:rPr>
          <w:rFonts w:ascii="Arial" w:hAnsi="Arial" w:cs="Arial"/>
          <w:b/>
          <w:bCs/>
          <w:sz w:val="24"/>
          <w:szCs w:val="24"/>
        </w:rPr>
        <w:t>:</w:t>
      </w:r>
      <w:r w:rsidRPr="005F7CD0">
        <w:rPr>
          <w:rFonts w:ascii="Arial" w:hAnsi="Arial" w:cs="Arial"/>
          <w:bCs/>
          <w:sz w:val="24"/>
          <w:szCs w:val="24"/>
        </w:rPr>
        <w:t xml:space="preserve"> The government’s DBT system, especially after 2013, used </w:t>
      </w:r>
      <w:proofErr w:type="spellStart"/>
      <w:r w:rsidRPr="005F7CD0">
        <w:rPr>
          <w:rFonts w:ascii="Arial" w:hAnsi="Arial" w:cs="Arial"/>
          <w:bCs/>
          <w:sz w:val="24"/>
          <w:szCs w:val="24"/>
        </w:rPr>
        <w:t>Aadhaar</w:t>
      </w:r>
      <w:proofErr w:type="spellEnd"/>
      <w:r w:rsidRPr="005F7CD0">
        <w:rPr>
          <w:rFonts w:ascii="Arial" w:hAnsi="Arial" w:cs="Arial"/>
          <w:bCs/>
          <w:sz w:val="24"/>
          <w:szCs w:val="24"/>
        </w:rPr>
        <w:t xml:space="preserve">-linked bank accounts to transfer subsidies directly to beneficiaries. As of early 2023, over ₹27.7 lakh </w:t>
      </w:r>
      <w:proofErr w:type="spellStart"/>
      <w:r w:rsidRPr="005F7CD0">
        <w:rPr>
          <w:rFonts w:ascii="Arial" w:hAnsi="Arial" w:cs="Arial"/>
          <w:bCs/>
          <w:sz w:val="24"/>
          <w:szCs w:val="24"/>
        </w:rPr>
        <w:t>crore</w:t>
      </w:r>
      <w:proofErr w:type="spellEnd"/>
      <w:r w:rsidRPr="005F7CD0">
        <w:rPr>
          <w:rFonts w:ascii="Arial" w:hAnsi="Arial" w:cs="Arial"/>
          <w:bCs/>
          <w:sz w:val="24"/>
          <w:szCs w:val="24"/>
        </w:rPr>
        <w:t xml:space="preserve"> had been disbursed through DBT, covering schemes such as LPG subsidies, MNREGA wages, and pensions. During the COVID-19 pandemic, this system enabled the government to transfer funds quickly to over 114 million people. The JAM trinity—Jan </w:t>
      </w:r>
      <w:proofErr w:type="spellStart"/>
      <w:r w:rsidRPr="005F7CD0">
        <w:rPr>
          <w:rFonts w:ascii="Arial" w:hAnsi="Arial" w:cs="Arial"/>
          <w:bCs/>
          <w:sz w:val="24"/>
          <w:szCs w:val="24"/>
        </w:rPr>
        <w:t>Dhan</w:t>
      </w:r>
      <w:proofErr w:type="spellEnd"/>
      <w:r w:rsidRPr="005F7CD0">
        <w:rPr>
          <w:rFonts w:ascii="Arial" w:hAnsi="Arial" w:cs="Arial"/>
          <w:bCs/>
          <w:sz w:val="24"/>
          <w:szCs w:val="24"/>
        </w:rPr>
        <w:t xml:space="preserve"> accounts, </w:t>
      </w:r>
      <w:proofErr w:type="spellStart"/>
      <w:r w:rsidRPr="005F7CD0">
        <w:rPr>
          <w:rFonts w:ascii="Arial" w:hAnsi="Arial" w:cs="Arial"/>
          <w:bCs/>
          <w:sz w:val="24"/>
          <w:szCs w:val="24"/>
        </w:rPr>
        <w:t>Aadhaar</w:t>
      </w:r>
      <w:proofErr w:type="spellEnd"/>
      <w:r w:rsidRPr="005F7CD0">
        <w:rPr>
          <w:rFonts w:ascii="Arial" w:hAnsi="Arial" w:cs="Arial"/>
          <w:bCs/>
          <w:sz w:val="24"/>
          <w:szCs w:val="24"/>
        </w:rPr>
        <w:t xml:space="preserve">, and mobile—made </w:t>
      </w:r>
      <w:proofErr w:type="gramStart"/>
      <w:r w:rsidRPr="005F7CD0">
        <w:rPr>
          <w:rFonts w:ascii="Arial" w:hAnsi="Arial" w:cs="Arial"/>
          <w:bCs/>
          <w:sz w:val="24"/>
          <w:szCs w:val="24"/>
        </w:rPr>
        <w:t>this possible, positioning banks</w:t>
      </w:r>
      <w:proofErr w:type="gramEnd"/>
      <w:r w:rsidRPr="005F7CD0">
        <w:rPr>
          <w:rFonts w:ascii="Arial" w:hAnsi="Arial" w:cs="Arial"/>
          <w:bCs/>
          <w:sz w:val="24"/>
          <w:szCs w:val="24"/>
        </w:rPr>
        <w:t xml:space="preserve"> as vital delivery mechanisms for welfare services and deepening inclusion.</w:t>
      </w:r>
    </w:p>
    <w:p w:rsidR="005F7CD0" w:rsidRPr="005F7CD0" w:rsidRDefault="005F7CD0" w:rsidP="005F7CD0">
      <w:pPr>
        <w:rPr>
          <w:rFonts w:ascii="Arial" w:hAnsi="Arial" w:cs="Arial"/>
          <w:bCs/>
          <w:sz w:val="24"/>
          <w:szCs w:val="24"/>
        </w:rPr>
      </w:pPr>
      <w:r w:rsidRPr="005F7CD0">
        <w:rPr>
          <w:rFonts w:ascii="Arial" w:hAnsi="Arial" w:cs="Arial"/>
          <w:b/>
          <w:bCs/>
          <w:sz w:val="24"/>
          <w:szCs w:val="24"/>
        </w:rPr>
        <w:t xml:space="preserve">c. Digital Lending and </w:t>
      </w:r>
      <w:proofErr w:type="spellStart"/>
      <w:r w:rsidRPr="005F7CD0">
        <w:rPr>
          <w:rFonts w:ascii="Arial" w:hAnsi="Arial" w:cs="Arial"/>
          <w:b/>
          <w:bCs/>
          <w:sz w:val="24"/>
          <w:szCs w:val="24"/>
        </w:rPr>
        <w:t>Fintech</w:t>
      </w:r>
      <w:proofErr w:type="spellEnd"/>
      <w:r w:rsidRPr="005F7CD0">
        <w:rPr>
          <w:rFonts w:ascii="Arial" w:hAnsi="Arial" w:cs="Arial"/>
          <w:b/>
          <w:bCs/>
          <w:sz w:val="24"/>
          <w:szCs w:val="24"/>
        </w:rPr>
        <w:t xml:space="preserve"> Integration:</w:t>
      </w:r>
      <w:r w:rsidRPr="005F7CD0">
        <w:rPr>
          <w:rFonts w:ascii="Arial" w:hAnsi="Arial" w:cs="Arial"/>
          <w:bCs/>
          <w:sz w:val="24"/>
          <w:szCs w:val="24"/>
        </w:rPr>
        <w:t xml:space="preserve"> The 2010s also marked the rise of </w:t>
      </w:r>
      <w:proofErr w:type="spellStart"/>
      <w:r w:rsidRPr="005F7CD0">
        <w:rPr>
          <w:rFonts w:ascii="Arial" w:hAnsi="Arial" w:cs="Arial"/>
          <w:bCs/>
          <w:sz w:val="24"/>
          <w:szCs w:val="24"/>
        </w:rPr>
        <w:t>fintechs</w:t>
      </w:r>
      <w:proofErr w:type="spellEnd"/>
      <w:r w:rsidRPr="005F7CD0">
        <w:rPr>
          <w:rFonts w:ascii="Arial" w:hAnsi="Arial" w:cs="Arial"/>
          <w:bCs/>
          <w:sz w:val="24"/>
          <w:szCs w:val="24"/>
        </w:rPr>
        <w:t xml:space="preserve"> offering digital lending, wallets, and credit scoring tools, often in partnership with banks or NBFCs. This pressured banks to offer end-to-end digital loans, especially in personal finance and MSME sectors. The RBI introduced Digital Lending Guidelines (2022) to ensure transparency and protect customers from predatory practices. The Account Aggregator framework (operational since 2021) further enabled secure sharing of financial data, allowing quicker and more informed credit decisions.</w:t>
      </w:r>
    </w:p>
    <w:p w:rsidR="005F7CD0" w:rsidRPr="005F7CD0" w:rsidRDefault="005F7CD0" w:rsidP="005F7CD0">
      <w:pPr>
        <w:rPr>
          <w:rFonts w:ascii="Arial" w:hAnsi="Arial" w:cs="Arial"/>
          <w:bCs/>
          <w:sz w:val="24"/>
          <w:szCs w:val="24"/>
        </w:rPr>
      </w:pPr>
      <w:r w:rsidRPr="005F7CD0">
        <w:rPr>
          <w:rFonts w:ascii="Arial" w:hAnsi="Arial" w:cs="Arial"/>
          <w:b/>
          <w:bCs/>
          <w:sz w:val="24"/>
          <w:szCs w:val="24"/>
        </w:rPr>
        <w:t>d. Banking Innovation and Service Delivery:</w:t>
      </w:r>
      <w:r w:rsidRPr="005F7CD0">
        <w:rPr>
          <w:rFonts w:ascii="Arial" w:hAnsi="Arial" w:cs="Arial"/>
          <w:bCs/>
          <w:sz w:val="24"/>
          <w:szCs w:val="24"/>
        </w:rPr>
        <w:t xml:space="preserve"> Banks significantly expanded digital access via mobile apps, multilingual platforms, and simplified interfaces targeting rural users. The use of debit cards soared, and low-cost UPI QR solutions helped small merchants go cashless. Government actions like demonetization in 2016 also gave a temporary push to digital payments. Meanwhile, partnerships between banks and </w:t>
      </w:r>
      <w:proofErr w:type="spellStart"/>
      <w:r w:rsidRPr="005F7CD0">
        <w:rPr>
          <w:rFonts w:ascii="Arial" w:hAnsi="Arial" w:cs="Arial"/>
          <w:bCs/>
          <w:sz w:val="24"/>
          <w:szCs w:val="24"/>
        </w:rPr>
        <w:t>fintechs</w:t>
      </w:r>
      <w:proofErr w:type="spellEnd"/>
      <w:r w:rsidRPr="005F7CD0">
        <w:rPr>
          <w:rFonts w:ascii="Arial" w:hAnsi="Arial" w:cs="Arial"/>
          <w:bCs/>
          <w:sz w:val="24"/>
          <w:szCs w:val="24"/>
        </w:rPr>
        <w:t xml:space="preserve"> in areas like insurance (</w:t>
      </w:r>
      <w:proofErr w:type="spellStart"/>
      <w:r w:rsidRPr="005F7CD0">
        <w:rPr>
          <w:rFonts w:ascii="Arial" w:hAnsi="Arial" w:cs="Arial"/>
          <w:bCs/>
          <w:sz w:val="24"/>
          <w:szCs w:val="24"/>
        </w:rPr>
        <w:t>InsurTech</w:t>
      </w:r>
      <w:proofErr w:type="spellEnd"/>
      <w:r w:rsidRPr="005F7CD0">
        <w:rPr>
          <w:rFonts w:ascii="Arial" w:hAnsi="Arial" w:cs="Arial"/>
          <w:bCs/>
          <w:sz w:val="24"/>
          <w:szCs w:val="24"/>
        </w:rPr>
        <w:t>) and wealth management (</w:t>
      </w:r>
      <w:proofErr w:type="spellStart"/>
      <w:r w:rsidRPr="005F7CD0">
        <w:rPr>
          <w:rFonts w:ascii="Arial" w:hAnsi="Arial" w:cs="Arial"/>
          <w:bCs/>
          <w:sz w:val="24"/>
          <w:szCs w:val="24"/>
        </w:rPr>
        <w:t>WealthTech</w:t>
      </w:r>
      <w:proofErr w:type="spellEnd"/>
      <w:r w:rsidRPr="005F7CD0">
        <w:rPr>
          <w:rFonts w:ascii="Arial" w:hAnsi="Arial" w:cs="Arial"/>
          <w:bCs/>
          <w:sz w:val="24"/>
          <w:szCs w:val="24"/>
        </w:rPr>
        <w:t>) created integrated digital ecosystems that blurred the lines between traditional banking and tech-driven finance.</w:t>
      </w:r>
    </w:p>
    <w:p w:rsidR="005F7CD0" w:rsidRPr="005F7CD0" w:rsidRDefault="005F7CD0" w:rsidP="005F7CD0">
      <w:pPr>
        <w:rPr>
          <w:rFonts w:ascii="Arial" w:hAnsi="Arial" w:cs="Arial"/>
          <w:bCs/>
          <w:sz w:val="24"/>
          <w:szCs w:val="24"/>
        </w:rPr>
      </w:pPr>
      <w:r w:rsidRPr="005F7CD0">
        <w:rPr>
          <w:rFonts w:ascii="Arial" w:hAnsi="Arial" w:cs="Arial"/>
          <w:b/>
          <w:bCs/>
          <w:sz w:val="24"/>
          <w:szCs w:val="24"/>
        </w:rPr>
        <w:t xml:space="preserve">e. </w:t>
      </w:r>
      <w:bookmarkStart w:id="0" w:name="_GoBack"/>
      <w:r w:rsidRPr="005F7CD0">
        <w:rPr>
          <w:rFonts w:ascii="Arial" w:hAnsi="Arial" w:cs="Arial"/>
          <w:b/>
          <w:bCs/>
          <w:sz w:val="24"/>
          <w:szCs w:val="24"/>
        </w:rPr>
        <w:t xml:space="preserve">Cyber security and Consumer Awareness: </w:t>
      </w:r>
      <w:bookmarkEnd w:id="0"/>
      <w:r w:rsidRPr="005F7CD0">
        <w:rPr>
          <w:rFonts w:ascii="Arial" w:hAnsi="Arial" w:cs="Arial"/>
          <w:bCs/>
          <w:sz w:val="24"/>
          <w:szCs w:val="24"/>
        </w:rPr>
        <w:t xml:space="preserve">With digitization came concerns about security. RBI mandated two-factor authentication early on and created </w:t>
      </w:r>
      <w:proofErr w:type="spellStart"/>
      <w:r w:rsidRPr="005F7CD0">
        <w:rPr>
          <w:rFonts w:ascii="Arial" w:hAnsi="Arial" w:cs="Arial"/>
          <w:bCs/>
          <w:sz w:val="24"/>
          <w:szCs w:val="24"/>
        </w:rPr>
        <w:t>ReBIT</w:t>
      </w:r>
      <w:proofErr w:type="spellEnd"/>
      <w:r w:rsidRPr="005F7CD0">
        <w:rPr>
          <w:rFonts w:ascii="Arial" w:hAnsi="Arial" w:cs="Arial"/>
          <w:bCs/>
          <w:sz w:val="24"/>
          <w:szCs w:val="24"/>
        </w:rPr>
        <w:t xml:space="preserve"> to strengthen IT governance. Cyber security frameworks were issued, and financial literacy campaigns educated new users on digital risks and fraud prevention, ensuring trust in digital channels.</w:t>
      </w:r>
    </w:p>
    <w:p w:rsidR="005F7CD0" w:rsidRPr="005F7CD0" w:rsidRDefault="005F7CD0" w:rsidP="005F7CD0">
      <w:pPr>
        <w:rPr>
          <w:rFonts w:ascii="Arial" w:hAnsi="Arial" w:cs="Arial"/>
          <w:bCs/>
          <w:sz w:val="24"/>
          <w:szCs w:val="24"/>
        </w:rPr>
      </w:pPr>
      <w:r w:rsidRPr="005F7CD0">
        <w:rPr>
          <w:rFonts w:ascii="Arial" w:hAnsi="Arial" w:cs="Arial"/>
          <w:bCs/>
          <w:sz w:val="24"/>
          <w:szCs w:val="24"/>
        </w:rPr>
        <w:t xml:space="preserve">Overall, digital banking reforms have been among the most transformative for ordinary Indians. They have enabled seamless access to payments, savings, credit, and welfare services—all through a mobile phone. India’s digital public infrastructure, like </w:t>
      </w:r>
      <w:proofErr w:type="spellStart"/>
      <w:r w:rsidRPr="005F7CD0">
        <w:rPr>
          <w:rFonts w:ascii="Arial" w:hAnsi="Arial" w:cs="Arial"/>
          <w:bCs/>
          <w:sz w:val="24"/>
          <w:szCs w:val="24"/>
        </w:rPr>
        <w:t>Aadhaar</w:t>
      </w:r>
      <w:proofErr w:type="spellEnd"/>
      <w:r w:rsidRPr="005F7CD0">
        <w:rPr>
          <w:rFonts w:ascii="Arial" w:hAnsi="Arial" w:cs="Arial"/>
          <w:bCs/>
          <w:sz w:val="24"/>
          <w:szCs w:val="24"/>
        </w:rPr>
        <w:t xml:space="preserve">, </w:t>
      </w:r>
      <w:proofErr w:type="spellStart"/>
      <w:r w:rsidRPr="005F7CD0">
        <w:rPr>
          <w:rFonts w:ascii="Arial" w:hAnsi="Arial" w:cs="Arial"/>
          <w:bCs/>
          <w:sz w:val="24"/>
          <w:szCs w:val="24"/>
        </w:rPr>
        <w:t>eKYC</w:t>
      </w:r>
      <w:proofErr w:type="spellEnd"/>
      <w:r w:rsidRPr="005F7CD0">
        <w:rPr>
          <w:rFonts w:ascii="Arial" w:hAnsi="Arial" w:cs="Arial"/>
          <w:bCs/>
          <w:sz w:val="24"/>
          <w:szCs w:val="24"/>
        </w:rPr>
        <w:t xml:space="preserve">, UPI, and Account Aggregators, is now studied globally as a model for inclusive financial innovation. Banks have remained central to this transformation, anchoring the digital ecosystem while allowing </w:t>
      </w:r>
      <w:proofErr w:type="spellStart"/>
      <w:r w:rsidRPr="005F7CD0">
        <w:rPr>
          <w:rFonts w:ascii="Arial" w:hAnsi="Arial" w:cs="Arial"/>
          <w:bCs/>
          <w:sz w:val="24"/>
          <w:szCs w:val="24"/>
        </w:rPr>
        <w:t>fintech</w:t>
      </w:r>
      <w:proofErr w:type="spellEnd"/>
      <w:r w:rsidRPr="005F7CD0">
        <w:rPr>
          <w:rFonts w:ascii="Arial" w:hAnsi="Arial" w:cs="Arial"/>
          <w:bCs/>
          <w:sz w:val="24"/>
          <w:szCs w:val="24"/>
        </w:rPr>
        <w:t xml:space="preserve"> partners to innovate on top of secure, regulated platforms.</w:t>
      </w:r>
    </w:p>
    <w:p w:rsidR="005F7CD0" w:rsidRPr="005F7CD0" w:rsidRDefault="005F7CD0" w:rsidP="005F7CD0">
      <w:pPr>
        <w:rPr>
          <w:rFonts w:ascii="Arial" w:hAnsi="Arial" w:cs="Arial"/>
          <w:bCs/>
          <w:sz w:val="24"/>
          <w:szCs w:val="24"/>
        </w:rPr>
      </w:pPr>
      <w:r w:rsidRPr="005F7CD0">
        <w:rPr>
          <w:rFonts w:ascii="Arial" w:hAnsi="Arial" w:cs="Arial"/>
          <w:b/>
          <w:bCs/>
          <w:sz w:val="24"/>
          <w:szCs w:val="24"/>
        </w:rPr>
        <w:t xml:space="preserve"> Performance of the Banking Sector in Recent Years</w:t>
      </w:r>
    </w:p>
    <w:p w:rsidR="005F7CD0" w:rsidRPr="005F7CD0" w:rsidRDefault="005F7CD0" w:rsidP="005F7CD0">
      <w:pPr>
        <w:rPr>
          <w:rFonts w:ascii="Arial" w:hAnsi="Arial" w:cs="Arial"/>
          <w:sz w:val="24"/>
          <w:szCs w:val="24"/>
        </w:rPr>
      </w:pPr>
      <w:r w:rsidRPr="005F7CD0">
        <w:rPr>
          <w:rFonts w:ascii="Arial" w:hAnsi="Arial" w:cs="Arial"/>
          <w:sz w:val="24"/>
          <w:szCs w:val="24"/>
        </w:rPr>
        <w:t>By 2023–24, after multiple waves of reforms, India’s banking sector showed strong improvement across key financial indicators: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a. Asset Quality: </w:t>
      </w:r>
      <w:r w:rsidRPr="005F7CD0">
        <w:rPr>
          <w:rFonts w:ascii="Arial" w:hAnsi="Arial" w:cs="Arial"/>
          <w:sz w:val="24"/>
          <w:szCs w:val="24"/>
        </w:rPr>
        <w:t xml:space="preserve">India’s GNPA (Gross Non-Performing Asset) ratios have significantly improved from crisis-era highs. In March 2018, GNPAs peaked at 11.5% for all banks and 14.6% for PSBs. By March 2024, PSBs had reduced their GNPA ratio to </w:t>
      </w:r>
      <w:proofErr w:type="gramStart"/>
      <w:r w:rsidRPr="005F7CD0">
        <w:rPr>
          <w:rFonts w:ascii="Arial" w:hAnsi="Arial" w:cs="Arial"/>
          <w:sz w:val="24"/>
          <w:szCs w:val="24"/>
        </w:rPr>
        <w:t>3.47%,</w:t>
      </w:r>
      <w:proofErr w:type="gramEnd"/>
      <w:r w:rsidRPr="005F7CD0">
        <w:rPr>
          <w:rFonts w:ascii="Arial" w:hAnsi="Arial" w:cs="Arial"/>
          <w:sz w:val="24"/>
          <w:szCs w:val="24"/>
        </w:rPr>
        <w:t xml:space="preserve"> and further to 2.58% by March 2025—the lowest in over a decade. This decline was driven by major recoveries (₹3.5 lakh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up to 2019), aggressive write-offs, and better risk management. Slippages also fell—PSBs recorded a 45% year-on-year drop in FY19. While early signs of a slight uptick in NPAs have emerged with renewed credit growth, the risk remains moderate compared to previous crises.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b. Capital Adequacy and Financial Health: </w:t>
      </w:r>
      <w:r w:rsidRPr="005F7CD0">
        <w:rPr>
          <w:rFonts w:ascii="Arial" w:hAnsi="Arial" w:cs="Arial"/>
          <w:sz w:val="24"/>
          <w:szCs w:val="24"/>
        </w:rPr>
        <w:t>Banks today are far better capitalized. The average CRAR stood at ~16% in 2023, well above regulatory minimums. PSBs improved their CRAR from around 12% in 2015 to 15.43% by September 2024. Higher provision coverage (PCR ~70–80%) and renewed ability to raise market capital reflect improved stability and investor confidence.</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c. Profitability: </w:t>
      </w:r>
      <w:r w:rsidRPr="005F7CD0">
        <w:rPr>
          <w:rFonts w:ascii="Arial" w:hAnsi="Arial" w:cs="Arial"/>
          <w:sz w:val="24"/>
          <w:szCs w:val="24"/>
        </w:rPr>
        <w:t xml:space="preserve">From years of losses (2016–2018), PSBs bounced back strongly. All 12 PSBs posted profits in FY 2021–22, and by FY 2023–24, aggregate net profit hit a record ₹1.41 lakh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This was driven by reduced provisioning, stable interest income, and operational efficiency. Private </w:t>
      </w:r>
      <w:proofErr w:type="gramStart"/>
      <w:r w:rsidRPr="005F7CD0">
        <w:rPr>
          <w:rFonts w:ascii="Arial" w:hAnsi="Arial" w:cs="Arial"/>
          <w:sz w:val="24"/>
          <w:szCs w:val="24"/>
        </w:rPr>
        <w:t>banks</w:t>
      </w:r>
      <w:proofErr w:type="gramEnd"/>
      <w:r w:rsidRPr="005F7CD0">
        <w:rPr>
          <w:rFonts w:ascii="Arial" w:hAnsi="Arial" w:cs="Arial"/>
          <w:sz w:val="24"/>
          <w:szCs w:val="24"/>
        </w:rPr>
        <w:t xml:space="preserve"> remained consistently profitable and expanded market share. Return on Assets (</w:t>
      </w:r>
      <w:proofErr w:type="spellStart"/>
      <w:r w:rsidRPr="005F7CD0">
        <w:rPr>
          <w:rFonts w:ascii="Arial" w:hAnsi="Arial" w:cs="Arial"/>
          <w:sz w:val="24"/>
          <w:szCs w:val="24"/>
        </w:rPr>
        <w:t>RoA</w:t>
      </w:r>
      <w:proofErr w:type="spellEnd"/>
      <w:r w:rsidRPr="005F7CD0">
        <w:rPr>
          <w:rFonts w:ascii="Arial" w:hAnsi="Arial" w:cs="Arial"/>
          <w:sz w:val="24"/>
          <w:szCs w:val="24"/>
        </w:rPr>
        <w:t>) reached ~1% for many banks, while Return on Equity (</w:t>
      </w:r>
      <w:proofErr w:type="spellStart"/>
      <w:r w:rsidRPr="005F7CD0">
        <w:rPr>
          <w:rFonts w:ascii="Arial" w:hAnsi="Arial" w:cs="Arial"/>
          <w:sz w:val="24"/>
          <w:szCs w:val="24"/>
        </w:rPr>
        <w:t>RoE</w:t>
      </w:r>
      <w:proofErr w:type="spellEnd"/>
      <w:r w:rsidRPr="005F7CD0">
        <w:rPr>
          <w:rFonts w:ascii="Arial" w:hAnsi="Arial" w:cs="Arial"/>
          <w:sz w:val="24"/>
          <w:szCs w:val="24"/>
        </w:rPr>
        <w:t xml:space="preserve">) entered double digits. Notably, PSBs resumed dividend payments—₹62,000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distributed between 2020 and 2023.</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d. Credit Growth: </w:t>
      </w:r>
      <w:r w:rsidRPr="005F7CD0">
        <w:rPr>
          <w:rFonts w:ascii="Arial" w:hAnsi="Arial" w:cs="Arial"/>
          <w:sz w:val="24"/>
          <w:szCs w:val="24"/>
        </w:rPr>
        <w:t xml:space="preserve">Bank credit growth, after stagnating during the NPA crisis (~1% in FY17), rebounded sharply. Growth averaged 7–14% annually during 2018–2022, and exceeded 15% in FY 2021–23. Total outstanding credit crossed ₹175 lakh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by March 2024—a threefold increase over a decade. Retail and MSME lending led this growth, helped by credit guarantee schemes, while large corporate credit began recovering post-deleveraging.</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e. Deposits and Financial Inclusion: </w:t>
      </w:r>
      <w:r w:rsidRPr="005F7CD0">
        <w:rPr>
          <w:rFonts w:ascii="Arial" w:hAnsi="Arial" w:cs="Arial"/>
          <w:sz w:val="24"/>
          <w:szCs w:val="24"/>
        </w:rPr>
        <w:t xml:space="preserve">Deposits continued to grow steadily at ~10% per year, reaching ₹180–190 lakh </w:t>
      </w:r>
      <w:proofErr w:type="spellStart"/>
      <w:r w:rsidRPr="005F7CD0">
        <w:rPr>
          <w:rFonts w:ascii="Arial" w:hAnsi="Arial" w:cs="Arial"/>
          <w:sz w:val="24"/>
          <w:szCs w:val="24"/>
        </w:rPr>
        <w:t>crore</w:t>
      </w:r>
      <w:proofErr w:type="spellEnd"/>
      <w:r w:rsidRPr="005F7CD0">
        <w:rPr>
          <w:rFonts w:ascii="Arial" w:hAnsi="Arial" w:cs="Arial"/>
          <w:sz w:val="24"/>
          <w:szCs w:val="24"/>
        </w:rPr>
        <w:t xml:space="preserve"> by 2023. CASA ratios improved, reflecting strong low-cost deposit bases supported by financial inclusion programs. Over 1.6 lakh bank branches exist in India—1 lakh in rural and semi-urban areas. More than 80% of adults now hold bank accounts, up from ~50% in 2014. UPI and </w:t>
      </w:r>
      <w:proofErr w:type="spellStart"/>
      <w:r w:rsidRPr="005F7CD0">
        <w:rPr>
          <w:rFonts w:ascii="Arial" w:hAnsi="Arial" w:cs="Arial"/>
          <w:sz w:val="24"/>
          <w:szCs w:val="24"/>
        </w:rPr>
        <w:t>Aadhaar</w:t>
      </w:r>
      <w:proofErr w:type="spellEnd"/>
      <w:r w:rsidRPr="005F7CD0">
        <w:rPr>
          <w:rFonts w:ascii="Arial" w:hAnsi="Arial" w:cs="Arial"/>
          <w:sz w:val="24"/>
          <w:szCs w:val="24"/>
        </w:rPr>
        <w:t>-enabled transactions show rising usage even among basic account holders.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f. Public </w:t>
      </w:r>
      <w:proofErr w:type="spellStart"/>
      <w:r w:rsidRPr="005F7CD0">
        <w:rPr>
          <w:rFonts w:ascii="Arial" w:hAnsi="Arial" w:cs="Arial"/>
          <w:b/>
          <w:bCs/>
          <w:sz w:val="24"/>
          <w:szCs w:val="24"/>
        </w:rPr>
        <w:t>vs</w:t>
      </w:r>
      <w:proofErr w:type="spellEnd"/>
      <w:r w:rsidRPr="005F7CD0">
        <w:rPr>
          <w:rFonts w:ascii="Arial" w:hAnsi="Arial" w:cs="Arial"/>
          <w:b/>
          <w:bCs/>
          <w:sz w:val="24"/>
          <w:szCs w:val="24"/>
        </w:rPr>
        <w:t xml:space="preserve"> Private Market Share: </w:t>
      </w:r>
      <w:r w:rsidRPr="005F7CD0">
        <w:rPr>
          <w:rFonts w:ascii="Arial" w:hAnsi="Arial" w:cs="Arial"/>
          <w:sz w:val="24"/>
          <w:szCs w:val="24"/>
        </w:rPr>
        <w:t xml:space="preserve">Private </w:t>
      </w:r>
      <w:proofErr w:type="gramStart"/>
      <w:r w:rsidRPr="005F7CD0">
        <w:rPr>
          <w:rFonts w:ascii="Arial" w:hAnsi="Arial" w:cs="Arial"/>
          <w:sz w:val="24"/>
          <w:szCs w:val="24"/>
        </w:rPr>
        <w:t>banks</w:t>
      </w:r>
      <w:proofErr w:type="gramEnd"/>
      <w:r w:rsidRPr="005F7CD0">
        <w:rPr>
          <w:rFonts w:ascii="Arial" w:hAnsi="Arial" w:cs="Arial"/>
          <w:sz w:val="24"/>
          <w:szCs w:val="24"/>
        </w:rPr>
        <w:t xml:space="preserve"> have increased their loan market share from 20% (2010) to ~36% (2023), although PSBs have regained momentum since 2019 through mergers and improved performance. Healthy competition has driven better services and pricing. Foreign banks remain niche players (~6% share), mainly in corporate and wealth segments.</w:t>
      </w:r>
    </w:p>
    <w:p w:rsidR="005F7CD0" w:rsidRPr="005F7CD0" w:rsidRDefault="005F7CD0" w:rsidP="005F7CD0">
      <w:pPr>
        <w:rPr>
          <w:rFonts w:ascii="Arial" w:hAnsi="Arial" w:cs="Arial"/>
          <w:sz w:val="24"/>
          <w:szCs w:val="24"/>
        </w:rPr>
      </w:pPr>
      <w:r w:rsidRPr="005F7CD0">
        <w:rPr>
          <w:rFonts w:ascii="Arial" w:hAnsi="Arial" w:cs="Arial"/>
          <w:sz w:val="24"/>
          <w:szCs w:val="24"/>
        </w:rPr>
        <w:t>By 2024, the banking sector is demonstrably stronger—with lower NPAs, higher capital, growing profits, and expanded inclusion. These outcomes reflect the cumulative impact of three decades of reform. Still, sustaining this progress will require vigilance, adaptive regulation, and continued innovation to ensure banks can support India’s growth ambitions effectively.</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 Challenges and Future Outlook</w:t>
      </w:r>
    </w:p>
    <w:p w:rsidR="005F7CD0" w:rsidRPr="005F7CD0" w:rsidRDefault="005F7CD0" w:rsidP="005F7CD0">
      <w:pPr>
        <w:rPr>
          <w:rFonts w:ascii="Arial" w:hAnsi="Arial" w:cs="Arial"/>
          <w:sz w:val="24"/>
          <w:szCs w:val="24"/>
        </w:rPr>
      </w:pPr>
      <w:r w:rsidRPr="005F7CD0">
        <w:rPr>
          <w:rFonts w:ascii="Arial" w:hAnsi="Arial" w:cs="Arial"/>
          <w:sz w:val="24"/>
          <w:szCs w:val="24"/>
        </w:rPr>
        <w:t>Despite major reforms, India’s banking sector continues to face several challenges: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a. Governance in Public Sector Banks: </w:t>
      </w:r>
      <w:r w:rsidRPr="005F7CD0">
        <w:rPr>
          <w:rFonts w:ascii="Arial" w:hAnsi="Arial" w:cs="Arial"/>
          <w:sz w:val="24"/>
          <w:szCs w:val="24"/>
        </w:rPr>
        <w:t xml:space="preserve">Issues like political interference, lack of accountability, and frequent leadership changes still plague PSBs. While reforms under </w:t>
      </w:r>
      <w:proofErr w:type="spellStart"/>
      <w:r w:rsidRPr="005F7CD0">
        <w:rPr>
          <w:rFonts w:ascii="Arial" w:hAnsi="Arial" w:cs="Arial"/>
          <w:sz w:val="24"/>
          <w:szCs w:val="24"/>
        </w:rPr>
        <w:t>Indradhanush</w:t>
      </w:r>
      <w:proofErr w:type="spellEnd"/>
      <w:r w:rsidRPr="005F7CD0">
        <w:rPr>
          <w:rFonts w:ascii="Arial" w:hAnsi="Arial" w:cs="Arial"/>
          <w:sz w:val="24"/>
          <w:szCs w:val="24"/>
        </w:rPr>
        <w:t>, EASE, and the creation of FSIB (2022) have improved board appointments and transparency, deeper changes are needed—such as ensuring independent boards, reducing government ownership below 51%, and insulating banks from political influence. Strengthening board culture and internal audits remains a work in progress.</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b. Asset Quality and Risk Management: </w:t>
      </w:r>
      <w:r w:rsidRPr="005F7CD0">
        <w:rPr>
          <w:rFonts w:ascii="Arial" w:hAnsi="Arial" w:cs="Arial"/>
          <w:sz w:val="24"/>
          <w:szCs w:val="24"/>
        </w:rPr>
        <w:t xml:space="preserve">Though NPAs have </w:t>
      </w:r>
      <w:proofErr w:type="gramStart"/>
      <w:r w:rsidRPr="005F7CD0">
        <w:rPr>
          <w:rFonts w:ascii="Arial" w:hAnsi="Arial" w:cs="Arial"/>
          <w:sz w:val="24"/>
          <w:szCs w:val="24"/>
        </w:rPr>
        <w:t>declined,</w:t>
      </w:r>
      <w:proofErr w:type="gramEnd"/>
      <w:r w:rsidRPr="005F7CD0">
        <w:rPr>
          <w:rFonts w:ascii="Arial" w:hAnsi="Arial" w:cs="Arial"/>
          <w:sz w:val="24"/>
          <w:szCs w:val="24"/>
        </w:rPr>
        <w:t xml:space="preserve"> avoiding another bad loan cycle requires stronger credit appraisal and monitoring—especially as retail and unsecured lending rise. Past frauds revealed weaknesses in internal controls. Banks must enhance early warning systems, diversify portfolios, and continue recovery via IBC, DRTs, and NARCL. Sustaining a healthy credit culture is essential.</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c. Gaps in Financial Inclusion: </w:t>
      </w:r>
      <w:r w:rsidRPr="005F7CD0">
        <w:rPr>
          <w:rFonts w:ascii="Arial" w:hAnsi="Arial" w:cs="Arial"/>
          <w:sz w:val="24"/>
          <w:szCs w:val="24"/>
        </w:rPr>
        <w:t xml:space="preserve">Access to bank accounts is near-universal, but many remain underused beyond basic transactions. Small borrowers and MSMEs still struggle with formal credit access. Regional disparities and limited usage of financial products like credit and insurance persist. More tailored products, </w:t>
      </w:r>
      <w:proofErr w:type="spellStart"/>
      <w:r w:rsidRPr="005F7CD0">
        <w:rPr>
          <w:rFonts w:ascii="Arial" w:hAnsi="Arial" w:cs="Arial"/>
          <w:sz w:val="24"/>
          <w:szCs w:val="24"/>
        </w:rPr>
        <w:t>fintech</w:t>
      </w:r>
      <w:proofErr w:type="spellEnd"/>
      <w:r w:rsidRPr="005F7CD0">
        <w:rPr>
          <w:rFonts w:ascii="Arial" w:hAnsi="Arial" w:cs="Arial"/>
          <w:sz w:val="24"/>
          <w:szCs w:val="24"/>
        </w:rPr>
        <w:t xml:space="preserve"> partnerships, and financial literacy outreach are needed to deepen inclusion.</w:t>
      </w:r>
    </w:p>
    <w:p w:rsidR="005F7CD0" w:rsidRPr="005F7CD0" w:rsidRDefault="005F7CD0" w:rsidP="005F7CD0">
      <w:pPr>
        <w:rPr>
          <w:rFonts w:ascii="Arial" w:hAnsi="Arial" w:cs="Arial"/>
          <w:sz w:val="24"/>
          <w:szCs w:val="24"/>
        </w:rPr>
      </w:pPr>
      <w:proofErr w:type="gramStart"/>
      <w:r w:rsidRPr="005F7CD0">
        <w:rPr>
          <w:rFonts w:ascii="Arial" w:hAnsi="Arial" w:cs="Arial"/>
          <w:b/>
          <w:bCs/>
          <w:sz w:val="24"/>
          <w:szCs w:val="24"/>
        </w:rPr>
        <w:t>d</w:t>
      </w:r>
      <w:proofErr w:type="gramEnd"/>
      <w:r w:rsidRPr="005F7CD0">
        <w:rPr>
          <w:rFonts w:ascii="Arial" w:hAnsi="Arial" w:cs="Arial"/>
          <w:b/>
          <w:bCs/>
          <w:sz w:val="24"/>
          <w:szCs w:val="24"/>
        </w:rPr>
        <w:t xml:space="preserve">. </w:t>
      </w:r>
      <w:proofErr w:type="spellStart"/>
      <w:r w:rsidRPr="005F7CD0">
        <w:rPr>
          <w:rFonts w:ascii="Arial" w:hAnsi="Arial" w:cs="Arial"/>
          <w:b/>
          <w:bCs/>
          <w:sz w:val="24"/>
          <w:szCs w:val="24"/>
        </w:rPr>
        <w:t>Fintech</w:t>
      </w:r>
      <w:proofErr w:type="spellEnd"/>
      <w:r w:rsidRPr="005F7CD0">
        <w:rPr>
          <w:rFonts w:ascii="Arial" w:hAnsi="Arial" w:cs="Arial"/>
          <w:b/>
          <w:bCs/>
          <w:sz w:val="24"/>
          <w:szCs w:val="24"/>
        </w:rPr>
        <w:t xml:space="preserve"> Growth and Regulatory Balance: </w:t>
      </w:r>
      <w:proofErr w:type="spellStart"/>
      <w:r w:rsidRPr="005F7CD0">
        <w:rPr>
          <w:rFonts w:ascii="Arial" w:hAnsi="Arial" w:cs="Arial"/>
          <w:sz w:val="24"/>
          <w:szCs w:val="24"/>
        </w:rPr>
        <w:t>Fintech</w:t>
      </w:r>
      <w:proofErr w:type="spellEnd"/>
      <w:r w:rsidRPr="005F7CD0">
        <w:rPr>
          <w:rFonts w:ascii="Arial" w:hAnsi="Arial" w:cs="Arial"/>
          <w:sz w:val="24"/>
          <w:szCs w:val="24"/>
        </w:rPr>
        <w:t xml:space="preserve"> has introduced innovation but also regulatory gaps. RBI has stepped in with digital lending norms, prepaid wallet guidelines, and oversight on crypto and payment aggregators. The challenge is maintaining a level playing field while allowing innovation. Banks, meanwhile, must invest in AI, data analytics, and user experience to stay competitive.</w:t>
      </w:r>
    </w:p>
    <w:p w:rsidR="005F7CD0" w:rsidRPr="005F7CD0" w:rsidRDefault="005F7CD0" w:rsidP="005F7CD0">
      <w:pPr>
        <w:rPr>
          <w:rFonts w:ascii="Arial" w:hAnsi="Arial" w:cs="Arial"/>
          <w:sz w:val="24"/>
          <w:szCs w:val="24"/>
        </w:rPr>
      </w:pPr>
      <w:r w:rsidRPr="005F7CD0">
        <w:rPr>
          <w:rFonts w:ascii="Arial" w:hAnsi="Arial" w:cs="Arial"/>
          <w:b/>
          <w:bCs/>
          <w:sz w:val="24"/>
          <w:szCs w:val="24"/>
        </w:rPr>
        <w:t xml:space="preserve">e. Over-Reliance on Banks for Long-Term Credit: </w:t>
      </w:r>
      <w:r w:rsidRPr="005F7CD0">
        <w:rPr>
          <w:rFonts w:ascii="Arial" w:hAnsi="Arial" w:cs="Arial"/>
          <w:sz w:val="24"/>
          <w:szCs w:val="24"/>
        </w:rPr>
        <w:t>Banks still finance a large share of long-term infrastructure projects—an asset-liability mismatch. A deeper corporate bond market and use of alternatives like debt funds and INVITs are needed to diversify funding sources. Some measures have been taken, but progress is slow.</w:t>
      </w:r>
    </w:p>
    <w:p w:rsidR="005F7CD0" w:rsidRPr="005F7CD0" w:rsidRDefault="005F7CD0" w:rsidP="005F7CD0">
      <w:pPr>
        <w:rPr>
          <w:rFonts w:ascii="Arial" w:hAnsi="Arial" w:cs="Arial"/>
          <w:sz w:val="24"/>
          <w:szCs w:val="24"/>
        </w:rPr>
      </w:pPr>
      <w:r w:rsidRPr="005F7CD0">
        <w:rPr>
          <w:rFonts w:ascii="Arial" w:hAnsi="Arial" w:cs="Arial"/>
          <w:b/>
          <w:bCs/>
          <w:sz w:val="24"/>
          <w:szCs w:val="24"/>
        </w:rPr>
        <w:t>f. Climate Risk and Green Finance:</w:t>
      </w:r>
      <w:r w:rsidRPr="005F7CD0">
        <w:rPr>
          <w:rFonts w:ascii="Arial" w:hAnsi="Arial" w:cs="Arial"/>
          <w:sz w:val="24"/>
          <w:szCs w:val="24"/>
        </w:rPr>
        <w:t xml:space="preserve"> Banks must prepare for climate-related risks. RBI has started climate risk guidance, and banks may soon face mandates on green lending and ESG disclosures. This area is still developing but will grow in importance.</w:t>
      </w:r>
    </w:p>
    <w:p w:rsidR="005F7CD0" w:rsidRPr="005F7CD0" w:rsidRDefault="005F7CD0" w:rsidP="005F7CD0">
      <w:pPr>
        <w:rPr>
          <w:rFonts w:ascii="Arial" w:hAnsi="Arial" w:cs="Arial"/>
          <w:b/>
          <w:bCs/>
          <w:sz w:val="24"/>
          <w:szCs w:val="24"/>
        </w:rPr>
      </w:pPr>
      <w:proofErr w:type="gramStart"/>
      <w:r w:rsidRPr="005F7CD0">
        <w:rPr>
          <w:rFonts w:ascii="Arial" w:hAnsi="Arial" w:cs="Arial"/>
          <w:b/>
          <w:bCs/>
          <w:sz w:val="24"/>
          <w:szCs w:val="24"/>
        </w:rPr>
        <w:t>g. Cooperative</w:t>
      </w:r>
      <w:proofErr w:type="gramEnd"/>
      <w:r w:rsidRPr="005F7CD0">
        <w:rPr>
          <w:rFonts w:ascii="Arial" w:hAnsi="Arial" w:cs="Arial"/>
          <w:b/>
          <w:bCs/>
          <w:sz w:val="24"/>
          <w:szCs w:val="24"/>
        </w:rPr>
        <w:t xml:space="preserve"> Bank Weaknesses: </w:t>
      </w:r>
      <w:r w:rsidRPr="005F7CD0">
        <w:rPr>
          <w:rFonts w:ascii="Arial" w:hAnsi="Arial" w:cs="Arial"/>
          <w:sz w:val="24"/>
          <w:szCs w:val="24"/>
        </w:rPr>
        <w:t>Urban cooperative banks (UCBs) remain vulnerable, despite tighter RBI oversight post-2020. Failures like PMC Bank underline the need for consolidation or conversion of large UCBs into commercial banks. The increase in deposit insurance to ₹5 lakh has helped restore depositor confidence.</w:t>
      </w:r>
      <w:r w:rsidRPr="005F7CD0">
        <w:rPr>
          <w:rFonts w:ascii="Arial" w:hAnsi="Arial" w:cs="Arial"/>
          <w:b/>
          <w:bCs/>
          <w:sz w:val="24"/>
          <w:szCs w:val="24"/>
        </w:rPr>
        <w:t xml:space="preserve"> </w:t>
      </w:r>
    </w:p>
    <w:p w:rsidR="005F7CD0" w:rsidRPr="005F7CD0" w:rsidRDefault="005F7CD0" w:rsidP="005F7CD0">
      <w:pPr>
        <w:rPr>
          <w:rFonts w:ascii="Arial" w:hAnsi="Arial" w:cs="Arial"/>
          <w:sz w:val="24"/>
          <w:szCs w:val="24"/>
        </w:rPr>
      </w:pPr>
      <w:r w:rsidRPr="005F7CD0">
        <w:rPr>
          <w:rFonts w:ascii="Arial" w:hAnsi="Arial" w:cs="Arial"/>
          <w:sz w:val="24"/>
          <w:szCs w:val="24"/>
        </w:rPr>
        <w:t>India’s banking sector will continue evolving. While full privatization of PSBs remains politically sensitive, the government may pursue selective privatization or allow greater operational autonomy. The digital push continues with Digital Banking Units (DBUs) and potential for licensing neo-banks in the future.</w:t>
      </w:r>
    </w:p>
    <w:p w:rsidR="005F7CD0" w:rsidRPr="005F7CD0" w:rsidRDefault="005F7CD0" w:rsidP="005F7CD0">
      <w:pPr>
        <w:rPr>
          <w:rFonts w:ascii="Arial" w:hAnsi="Arial" w:cs="Arial"/>
          <w:sz w:val="24"/>
          <w:szCs w:val="24"/>
        </w:rPr>
      </w:pPr>
      <w:r w:rsidRPr="005F7CD0">
        <w:rPr>
          <w:rFonts w:ascii="Arial" w:hAnsi="Arial" w:cs="Arial"/>
          <w:sz w:val="24"/>
          <w:szCs w:val="24"/>
        </w:rPr>
        <w:t xml:space="preserve">Regulators are more cautious post the NPA crisis and continue publishing stress tests and Financial Stability Reports. Customer protection will also be </w:t>
      </w:r>
      <w:proofErr w:type="gramStart"/>
      <w:r w:rsidRPr="005F7CD0">
        <w:rPr>
          <w:rFonts w:ascii="Arial" w:hAnsi="Arial" w:cs="Arial"/>
          <w:sz w:val="24"/>
          <w:szCs w:val="24"/>
        </w:rPr>
        <w:t>key</w:t>
      </w:r>
      <w:proofErr w:type="gramEnd"/>
      <w:r w:rsidRPr="005F7CD0">
        <w:rPr>
          <w:rFonts w:ascii="Arial" w:hAnsi="Arial" w:cs="Arial"/>
          <w:sz w:val="24"/>
          <w:szCs w:val="24"/>
        </w:rPr>
        <w:t>—with expanded ombudsman schemes and emphasis on financial literacy.</w:t>
      </w:r>
    </w:p>
    <w:p w:rsidR="005F7CD0" w:rsidRPr="005F7CD0" w:rsidRDefault="005F7CD0" w:rsidP="005F7CD0">
      <w:pPr>
        <w:rPr>
          <w:rFonts w:ascii="Arial" w:hAnsi="Arial" w:cs="Arial"/>
          <w:sz w:val="24"/>
          <w:szCs w:val="24"/>
        </w:rPr>
      </w:pPr>
      <w:r w:rsidRPr="005F7CD0">
        <w:rPr>
          <w:rFonts w:ascii="Arial" w:hAnsi="Arial" w:cs="Arial"/>
          <w:b/>
          <w:sz w:val="24"/>
          <w:szCs w:val="24"/>
        </w:rPr>
        <w:t>Conclusion:</w:t>
      </w:r>
      <w:r w:rsidRPr="005F7CD0">
        <w:rPr>
          <w:rFonts w:ascii="Arial" w:hAnsi="Arial" w:cs="Arial"/>
          <w:sz w:val="24"/>
          <w:szCs w:val="24"/>
        </w:rPr>
        <w:t xml:space="preserve"> In conclusion, Indian banking has come a long way since 1991—from state dominance to a more competitive and inclusive system. Each reform wave addressed the needs of its time—from liberalization in the 1990s, strengthening and privatization in the 2000s, to digital transformation and resolution of bad loans in the 2010s. Going forward, sustained improvements in governance, technology use, risk management, and customer-centric policies will ensure banks continue to support India’s economic ambitions effectively.</w:t>
      </w:r>
    </w:p>
    <w:p w:rsidR="005F7CD0" w:rsidRPr="005F7CD0" w:rsidRDefault="005F7CD0" w:rsidP="005F7CD0">
      <w:pPr>
        <w:rPr>
          <w:rFonts w:ascii="Arial" w:hAnsi="Arial" w:cs="Arial"/>
          <w:sz w:val="24"/>
          <w:szCs w:val="24"/>
          <w:lang w:val="en-US"/>
        </w:rPr>
      </w:pPr>
    </w:p>
    <w:sectPr w:rsidR="005F7CD0" w:rsidRPr="005F7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14D47"/>
    <w:multiLevelType w:val="multilevel"/>
    <w:tmpl w:val="DA8E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34F72"/>
    <w:multiLevelType w:val="multilevel"/>
    <w:tmpl w:val="FA5A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245548"/>
    <w:multiLevelType w:val="multilevel"/>
    <w:tmpl w:val="D23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B6B8F"/>
    <w:multiLevelType w:val="multilevel"/>
    <w:tmpl w:val="3EA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9C"/>
    <w:rsid w:val="004B6D7B"/>
    <w:rsid w:val="0053019C"/>
    <w:rsid w:val="005F7CD0"/>
    <w:rsid w:val="008A5080"/>
    <w:rsid w:val="00DE3930"/>
    <w:rsid w:val="00E73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F1B7-CD66-4FAF-9918-8B2466BF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dc:creator>
  <cp:keywords/>
  <dc:description/>
  <cp:lastModifiedBy>Binita</cp:lastModifiedBy>
  <cp:revision>5</cp:revision>
  <dcterms:created xsi:type="dcterms:W3CDTF">2025-11-26T14:19:00Z</dcterms:created>
  <dcterms:modified xsi:type="dcterms:W3CDTF">2025-11-28T18:44:00Z</dcterms:modified>
</cp:coreProperties>
</file>